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94DB" w14:textId="77777777" w:rsidR="007562A8" w:rsidRPr="00B61655" w:rsidRDefault="007562A8" w:rsidP="007562A8">
      <w:pPr>
        <w:pStyle w:val="Heading2"/>
        <w:rPr>
          <w:sz w:val="28"/>
          <w:szCs w:val="28"/>
        </w:rPr>
      </w:pPr>
      <w:bookmarkStart w:id="0" w:name="_Toc50985870"/>
      <w:r w:rsidRPr="00B61655">
        <w:rPr>
          <w:sz w:val="28"/>
          <w:szCs w:val="28"/>
        </w:rPr>
        <w:t>Required Contract Provisions</w:t>
      </w:r>
      <w:bookmarkEnd w:id="0"/>
    </w:p>
    <w:p w14:paraId="28A76223" w14:textId="77777777" w:rsidR="007562A8" w:rsidRPr="00390C81" w:rsidRDefault="007562A8" w:rsidP="007562A8">
      <w:pPr>
        <w:spacing w:line="257" w:lineRule="auto"/>
        <w:rPr>
          <w:rFonts w:eastAsiaTheme="minorEastAsia"/>
          <w:sz w:val="24"/>
          <w:szCs w:val="24"/>
        </w:rPr>
      </w:pPr>
      <w:r w:rsidRPr="00390C81">
        <w:rPr>
          <w:rFonts w:ascii="Times New Roman" w:eastAsia="Times New Roman" w:hAnsi="Times New Roman" w:cs="Times New Roman"/>
          <w:sz w:val="24"/>
          <w:szCs w:val="24"/>
        </w:rPr>
        <w:t xml:space="preserve">This resource identifies provisions and procurement review sections that are required by USDA to be included in formal contracts and solicitations. Please refer to the GaDOE School Nutrition IFB (Invitation for Bid) checklist for additional sections that should also be included. </w:t>
      </w:r>
      <w:r>
        <w:rPr>
          <w:rFonts w:ascii="Times New Roman" w:eastAsia="Times New Roman" w:hAnsi="Times New Roman" w:cs="Times New Roman"/>
          <w:sz w:val="24"/>
          <w:szCs w:val="24"/>
        </w:rPr>
        <w:t xml:space="preserve">The </w:t>
      </w:r>
      <w:r w:rsidRPr="00390C81">
        <w:rPr>
          <w:rFonts w:ascii="Times New Roman" w:eastAsia="Times New Roman" w:hAnsi="Times New Roman" w:cs="Times New Roman"/>
          <w:sz w:val="24"/>
          <w:szCs w:val="24"/>
        </w:rPr>
        <w:t xml:space="preserve">language for these provisions can be found in </w:t>
      </w:r>
      <w:r>
        <w:rPr>
          <w:rFonts w:ascii="Times New Roman" w:eastAsia="Times New Roman" w:hAnsi="Times New Roman" w:cs="Times New Roman"/>
          <w:sz w:val="24"/>
          <w:szCs w:val="24"/>
        </w:rPr>
        <w:t xml:space="preserve">the </w:t>
      </w:r>
      <w:r w:rsidRPr="00390C81">
        <w:rPr>
          <w:rFonts w:ascii="Times New Roman" w:eastAsia="Times New Roman" w:hAnsi="Times New Roman" w:cs="Times New Roman"/>
          <w:sz w:val="24"/>
          <w:szCs w:val="24"/>
        </w:rPr>
        <w:t>GaDOE SNP Sample IFB</w:t>
      </w:r>
      <w:r>
        <w:rPr>
          <w:rFonts w:ascii="Times New Roman" w:eastAsia="Times New Roman" w:hAnsi="Times New Roman" w:cs="Times New Roman"/>
          <w:sz w:val="24"/>
          <w:szCs w:val="24"/>
        </w:rPr>
        <w:t>.</w:t>
      </w:r>
    </w:p>
    <w:p w14:paraId="386CA49E" w14:textId="77777777" w:rsidR="007562A8" w:rsidRDefault="007562A8" w:rsidP="007562A8"/>
    <w:p w14:paraId="3AF41B50" w14:textId="77777777" w:rsidR="007562A8" w:rsidRDefault="007562A8" w:rsidP="007562A8">
      <w:pPr>
        <w:pStyle w:val="Heading2"/>
        <w:jc w:val="left"/>
      </w:pPr>
      <w:bookmarkStart w:id="1" w:name="_Toc50985871"/>
      <w:r w:rsidRPr="3D1C39FE">
        <w:rPr>
          <w:sz w:val="28"/>
          <w:szCs w:val="28"/>
        </w:rPr>
        <w:t xml:space="preserve">Required provisions that should be included in </w:t>
      </w:r>
      <w:r w:rsidRPr="00897664">
        <w:rPr>
          <w:i/>
          <w:iCs/>
          <w:sz w:val="28"/>
          <w:szCs w:val="28"/>
        </w:rPr>
        <w:t>all</w:t>
      </w:r>
      <w:r w:rsidRPr="3D1C39FE">
        <w:rPr>
          <w:i/>
          <w:iCs/>
          <w:sz w:val="28"/>
          <w:szCs w:val="28"/>
        </w:rPr>
        <w:t xml:space="preserve"> </w:t>
      </w:r>
      <w:r w:rsidRPr="3D1C39FE">
        <w:rPr>
          <w:sz w:val="28"/>
          <w:szCs w:val="28"/>
        </w:rPr>
        <w:t>contracts:</w:t>
      </w:r>
      <w:bookmarkEnd w:id="1"/>
    </w:p>
    <w:p w14:paraId="41C8A4B4" w14:textId="77777777" w:rsidR="007562A8" w:rsidRDefault="007562A8" w:rsidP="007562A8">
      <w:pPr>
        <w:pStyle w:val="ListParagraph"/>
        <w:numPr>
          <w:ilvl w:val="0"/>
          <w:numId w:val="8"/>
        </w:numPr>
        <w:spacing w:line="257" w:lineRule="auto"/>
        <w:rPr>
          <w:rFonts w:eastAsiaTheme="minorEastAsia"/>
          <w:b/>
          <w:bCs/>
          <w:sz w:val="24"/>
          <w:szCs w:val="24"/>
        </w:rPr>
      </w:pPr>
      <w:r w:rsidRPr="0E7CED42">
        <w:rPr>
          <w:rFonts w:ascii="Times New Roman" w:eastAsia="Times New Roman" w:hAnsi="Times New Roman" w:cs="Times New Roman"/>
          <w:b/>
          <w:bCs/>
          <w:sz w:val="24"/>
          <w:szCs w:val="24"/>
        </w:rPr>
        <w:t>Debarment and Suspensio</w:t>
      </w:r>
      <w:r w:rsidRPr="00897664">
        <w:rPr>
          <w:rFonts w:ascii="Times New Roman" w:eastAsia="Times New Roman" w:hAnsi="Times New Roman" w:cs="Times New Roman"/>
          <w:b/>
          <w:bCs/>
          <w:sz w:val="24"/>
          <w:szCs w:val="24"/>
        </w:rPr>
        <w:t xml:space="preserve">n: </w:t>
      </w:r>
      <w:r w:rsidRPr="0E7CED42">
        <w:rPr>
          <w:rFonts w:ascii="Times New Roman" w:eastAsia="Times New Roman" w:hAnsi="Times New Roman" w:cs="Times New Roman"/>
          <w:sz w:val="24"/>
          <w:szCs w:val="24"/>
        </w:rPr>
        <w:t xml:space="preserve">Confirmation that a vendor is neither debarred, suspended, or deemed ineligible. </w:t>
      </w:r>
    </w:p>
    <w:p w14:paraId="496362A9" w14:textId="77777777" w:rsidR="007562A8" w:rsidRPr="00363CC2" w:rsidRDefault="007562A8" w:rsidP="007562A8">
      <w:pPr>
        <w:pStyle w:val="ListParagraph"/>
        <w:numPr>
          <w:ilvl w:val="1"/>
          <w:numId w:val="8"/>
        </w:numPr>
        <w:spacing w:line="257" w:lineRule="auto"/>
        <w:rPr>
          <w:rFonts w:eastAsiaTheme="minorEastAsia"/>
          <w:sz w:val="24"/>
          <w:szCs w:val="24"/>
        </w:rPr>
      </w:pPr>
      <w:r w:rsidRPr="0E7CED42">
        <w:rPr>
          <w:rFonts w:ascii="Times New Roman" w:eastAsia="Times New Roman" w:hAnsi="Times New Roman" w:cs="Times New Roman"/>
          <w:sz w:val="24"/>
          <w:szCs w:val="24"/>
        </w:rPr>
        <w:t>2 CFR 200.213, and 2 CFR Appendix II to Part 200, Section (H)</w:t>
      </w:r>
    </w:p>
    <w:p w14:paraId="04CCBC00" w14:textId="77777777" w:rsidR="007562A8" w:rsidRDefault="007562A8" w:rsidP="007562A8">
      <w:pPr>
        <w:pStyle w:val="ListParagraph"/>
        <w:numPr>
          <w:ilvl w:val="1"/>
          <w:numId w:val="8"/>
        </w:numPr>
        <w:spacing w:line="257" w:lineRule="auto"/>
        <w:rPr>
          <w:rFonts w:eastAsiaTheme="minorEastAsia"/>
          <w:sz w:val="24"/>
          <w:szCs w:val="24"/>
        </w:rPr>
      </w:pPr>
      <w:r w:rsidRPr="0E7CED42">
        <w:rPr>
          <w:rFonts w:ascii="Times New Roman" w:eastAsia="Times New Roman" w:hAnsi="Times New Roman" w:cs="Times New Roman"/>
          <w:sz w:val="24"/>
          <w:szCs w:val="24"/>
        </w:rPr>
        <w:t>Refer to Attachment H</w:t>
      </w:r>
      <w:r>
        <w:rPr>
          <w:rFonts w:ascii="Times New Roman" w:eastAsia="Times New Roman" w:hAnsi="Times New Roman" w:cs="Times New Roman"/>
          <w:sz w:val="24"/>
          <w:szCs w:val="24"/>
        </w:rPr>
        <w:t xml:space="preserve"> in Procurement Manual</w:t>
      </w:r>
      <w:r w:rsidRPr="0E7CED42">
        <w:rPr>
          <w:rFonts w:ascii="Times New Roman" w:eastAsia="Times New Roman" w:hAnsi="Times New Roman" w:cs="Times New Roman"/>
          <w:sz w:val="24"/>
          <w:szCs w:val="24"/>
        </w:rPr>
        <w:t xml:space="preserve">  </w:t>
      </w:r>
    </w:p>
    <w:p w14:paraId="3D54EDDE" w14:textId="77777777" w:rsidR="007562A8" w:rsidRPr="0038048B" w:rsidRDefault="007562A8" w:rsidP="007562A8">
      <w:pPr>
        <w:pStyle w:val="ListParagraph"/>
        <w:numPr>
          <w:ilvl w:val="0"/>
          <w:numId w:val="8"/>
        </w:numPr>
        <w:spacing w:line="257" w:lineRule="auto"/>
        <w:rPr>
          <w:rFonts w:eastAsiaTheme="minorEastAsia"/>
          <w:sz w:val="24"/>
          <w:szCs w:val="24"/>
        </w:rPr>
      </w:pPr>
      <w:r w:rsidRPr="00DC2EB9">
        <w:rPr>
          <w:rFonts w:ascii="Times New Roman" w:eastAsia="Times New Roman" w:hAnsi="Times New Roman" w:cs="Times New Roman"/>
          <w:b/>
          <w:bCs/>
          <w:sz w:val="24"/>
          <w:szCs w:val="24"/>
        </w:rPr>
        <w:t>Civil Rights Assurance</w:t>
      </w:r>
    </w:p>
    <w:p w14:paraId="7E363B61" w14:textId="77777777" w:rsidR="007562A8" w:rsidRPr="0092201A" w:rsidRDefault="007562A8" w:rsidP="007562A8">
      <w:pPr>
        <w:pStyle w:val="ListParagraph"/>
        <w:numPr>
          <w:ilvl w:val="1"/>
          <w:numId w:val="8"/>
        </w:numPr>
        <w:spacing w:line="257" w:lineRule="auto"/>
        <w:rPr>
          <w:rFonts w:eastAsiaTheme="minorEastAsia"/>
          <w:sz w:val="24"/>
          <w:szCs w:val="24"/>
        </w:rPr>
      </w:pPr>
      <w:r w:rsidRPr="0092201A">
        <w:rPr>
          <w:rFonts w:ascii="Times New Roman" w:eastAsia="Times New Roman" w:hAnsi="Times New Roman" w:cs="Times New Roman"/>
          <w:sz w:val="24"/>
          <w:szCs w:val="24"/>
        </w:rPr>
        <w:t>FNS-113-1</w:t>
      </w:r>
    </w:p>
    <w:p w14:paraId="0191015C" w14:textId="77777777" w:rsidR="007562A8" w:rsidRPr="00AB649C" w:rsidRDefault="007562A8" w:rsidP="007562A8">
      <w:pPr>
        <w:pStyle w:val="ListParagraph"/>
        <w:numPr>
          <w:ilvl w:val="1"/>
          <w:numId w:val="8"/>
        </w:numPr>
        <w:spacing w:line="257" w:lineRule="auto"/>
        <w:rPr>
          <w:rFonts w:eastAsiaTheme="minorEastAsia"/>
          <w:sz w:val="24"/>
          <w:szCs w:val="24"/>
        </w:rPr>
      </w:pPr>
      <w:r w:rsidRPr="00AB649C">
        <w:rPr>
          <w:rFonts w:ascii="Times New Roman" w:eastAsia="Times New Roman" w:hAnsi="Times New Roman" w:cs="Times New Roman"/>
          <w:sz w:val="24"/>
          <w:szCs w:val="24"/>
        </w:rPr>
        <w:t>Refer to Attachment J</w:t>
      </w:r>
      <w:r>
        <w:rPr>
          <w:rFonts w:ascii="Times New Roman" w:eastAsia="Times New Roman" w:hAnsi="Times New Roman" w:cs="Times New Roman"/>
          <w:sz w:val="24"/>
          <w:szCs w:val="24"/>
        </w:rPr>
        <w:t xml:space="preserve"> in Procurement Manual</w:t>
      </w:r>
    </w:p>
    <w:p w14:paraId="32EDE97C" w14:textId="77777777" w:rsidR="007562A8" w:rsidRDefault="007562A8" w:rsidP="007562A8">
      <w:pPr>
        <w:pStyle w:val="Heading2"/>
        <w:jc w:val="left"/>
      </w:pPr>
      <w:bookmarkStart w:id="2" w:name="_Toc50985872"/>
      <w:r w:rsidRPr="3D1C39FE">
        <w:rPr>
          <w:sz w:val="28"/>
          <w:szCs w:val="28"/>
        </w:rPr>
        <w:t xml:space="preserve">Required provisions that should be included in contracts </w:t>
      </w:r>
      <w:r w:rsidRPr="00897664">
        <w:rPr>
          <w:i/>
          <w:iCs/>
          <w:sz w:val="28"/>
          <w:szCs w:val="28"/>
        </w:rPr>
        <w:t>only when applicable</w:t>
      </w:r>
      <w:r w:rsidRPr="00897664">
        <w:rPr>
          <w:sz w:val="28"/>
          <w:szCs w:val="28"/>
        </w:rPr>
        <w:t xml:space="preserve"> </w:t>
      </w:r>
      <w:r w:rsidRPr="3D1C39FE">
        <w:rPr>
          <w:sz w:val="28"/>
          <w:szCs w:val="28"/>
        </w:rPr>
        <w:t>to the listed contract types:</w:t>
      </w:r>
      <w:bookmarkEnd w:id="2"/>
    </w:p>
    <w:p w14:paraId="6C230353" w14:textId="77777777" w:rsidR="007562A8" w:rsidRPr="004E47DA" w:rsidRDefault="007562A8" w:rsidP="007562A8">
      <w:pPr>
        <w:pStyle w:val="Heading3"/>
        <w:rPr>
          <w:b/>
          <w:bCs/>
          <w:color w:val="538135" w:themeColor="accent6" w:themeShade="BF"/>
        </w:rPr>
      </w:pPr>
      <w:bookmarkStart w:id="3" w:name="_Toc50985873"/>
      <w:r w:rsidRPr="004E47DA">
        <w:rPr>
          <w:rFonts w:ascii="Times New Roman" w:eastAsia="Times New Roman" w:hAnsi="Times New Roman" w:cs="Times New Roman"/>
          <w:b/>
          <w:bCs/>
          <w:color w:val="538135" w:themeColor="accent6" w:themeShade="BF"/>
        </w:rPr>
        <w:t>Contracts involving Food:</w:t>
      </w:r>
      <w:bookmarkEnd w:id="3"/>
    </w:p>
    <w:p w14:paraId="16438539" w14:textId="77777777" w:rsidR="007562A8" w:rsidRDefault="007562A8" w:rsidP="007562A8">
      <w:pPr>
        <w:pStyle w:val="ListParagraph"/>
        <w:numPr>
          <w:ilvl w:val="0"/>
          <w:numId w:val="7"/>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The Buy American Provision</w:t>
      </w:r>
      <w:r w:rsidRPr="00897664">
        <w:rPr>
          <w:rFonts w:ascii="Times New Roman" w:eastAsia="Times New Roman" w:hAnsi="Times New Roman" w:cs="Times New Roman"/>
          <w:b/>
          <w:bCs/>
          <w:sz w:val="24"/>
          <w:szCs w:val="24"/>
        </w:rPr>
        <w:t>:</w:t>
      </w:r>
      <w:r w:rsidRPr="3D1C39FE">
        <w:rPr>
          <w:rFonts w:ascii="Times New Roman" w:eastAsia="Times New Roman" w:hAnsi="Times New Roman" w:cs="Times New Roman"/>
          <w:sz w:val="24"/>
          <w:szCs w:val="24"/>
        </w:rPr>
        <w:t xml:space="preserve"> Include this only when soliciting foods. The Buy American provision is one of the procurement standards SFAs must comply with when purchasing commercial food products served in the school meals programs.</w:t>
      </w:r>
    </w:p>
    <w:p w14:paraId="375A9388" w14:textId="77777777" w:rsidR="007562A8" w:rsidRDefault="007562A8" w:rsidP="007562A8">
      <w:pPr>
        <w:pStyle w:val="ListParagraph"/>
        <w:numPr>
          <w:ilvl w:val="1"/>
          <w:numId w:val="7"/>
        </w:numPr>
        <w:spacing w:line="257" w:lineRule="auto"/>
        <w:rPr>
          <w:rFonts w:eastAsiaTheme="minorEastAsia"/>
          <w:sz w:val="24"/>
          <w:szCs w:val="24"/>
        </w:rPr>
      </w:pPr>
      <w:r w:rsidRPr="3D1C39FE">
        <w:rPr>
          <w:rFonts w:ascii="Times New Roman" w:eastAsia="Times New Roman" w:hAnsi="Times New Roman" w:cs="Times New Roman"/>
          <w:sz w:val="24"/>
          <w:szCs w:val="24"/>
        </w:rPr>
        <w:t>7 CFR Part 210.21(d).</w:t>
      </w:r>
    </w:p>
    <w:p w14:paraId="28DA883F" w14:textId="77777777" w:rsidR="007562A8" w:rsidRPr="004E47DA" w:rsidRDefault="007562A8" w:rsidP="007562A8">
      <w:pPr>
        <w:pStyle w:val="Heading3"/>
        <w:rPr>
          <w:b/>
          <w:bCs/>
          <w:color w:val="538135" w:themeColor="accent6" w:themeShade="BF"/>
        </w:rPr>
      </w:pPr>
      <w:bookmarkStart w:id="4" w:name="_Toc50985874"/>
      <w:r w:rsidRPr="004E47DA">
        <w:rPr>
          <w:rFonts w:ascii="Times New Roman" w:eastAsia="Times New Roman" w:hAnsi="Times New Roman" w:cs="Times New Roman"/>
          <w:b/>
          <w:bCs/>
          <w:color w:val="538135" w:themeColor="accent6" w:themeShade="BF"/>
        </w:rPr>
        <w:t>Required for Processing Contracts (but recommended for all food contracts):</w:t>
      </w:r>
      <w:bookmarkEnd w:id="4"/>
    </w:p>
    <w:p w14:paraId="62A9A96F" w14:textId="77777777" w:rsidR="007562A8" w:rsidRDefault="007562A8" w:rsidP="007562A8">
      <w:pPr>
        <w:pStyle w:val="ListParagraph"/>
        <w:numPr>
          <w:ilvl w:val="0"/>
          <w:numId w:val="6"/>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Food Recall Language</w:t>
      </w:r>
      <w:r w:rsidRPr="00897664">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sz w:val="24"/>
          <w:szCs w:val="24"/>
        </w:rPr>
        <w:t xml:space="preserve">Include this language when soliciting processing contracts.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 xml:space="preserve">This should address SFA responsibilities, recall procedures and tracking, assignment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of a food safety coordinator and alternate, among other conditions.</w:t>
      </w:r>
    </w:p>
    <w:p w14:paraId="21D5EB48" w14:textId="77777777" w:rsidR="007562A8" w:rsidRDefault="007562A8" w:rsidP="007562A8">
      <w:pPr>
        <w:pStyle w:val="ListParagraph"/>
        <w:numPr>
          <w:ilvl w:val="1"/>
          <w:numId w:val="6"/>
        </w:numPr>
        <w:spacing w:line="257" w:lineRule="auto"/>
        <w:rPr>
          <w:rFonts w:eastAsiaTheme="minorEastAsia"/>
          <w:sz w:val="24"/>
          <w:szCs w:val="24"/>
        </w:rPr>
      </w:pPr>
      <w:r w:rsidRPr="3D1C39FE">
        <w:rPr>
          <w:rFonts w:ascii="Times New Roman" w:eastAsia="Times New Roman" w:hAnsi="Times New Roman" w:cs="Times New Roman"/>
          <w:sz w:val="24"/>
          <w:szCs w:val="24"/>
        </w:rPr>
        <w:t>7 CFR Part 250</w:t>
      </w:r>
    </w:p>
    <w:p w14:paraId="26AFE879" w14:textId="77777777" w:rsidR="007562A8" w:rsidRPr="004E47DA" w:rsidRDefault="007562A8" w:rsidP="007562A8">
      <w:pPr>
        <w:pStyle w:val="Heading3"/>
        <w:rPr>
          <w:b/>
          <w:bCs/>
          <w:color w:val="538135" w:themeColor="accent6" w:themeShade="BF"/>
        </w:rPr>
      </w:pPr>
      <w:bookmarkStart w:id="5" w:name="_Toc50985875"/>
      <w:r w:rsidRPr="004E47DA">
        <w:rPr>
          <w:rFonts w:ascii="Times New Roman" w:eastAsia="Times New Roman" w:hAnsi="Times New Roman" w:cs="Times New Roman"/>
          <w:b/>
          <w:bCs/>
          <w:color w:val="538135" w:themeColor="accent6" w:themeShade="BF"/>
        </w:rPr>
        <w:t xml:space="preserve">For USDA approved construction/repair contracts over $2,000 </w:t>
      </w:r>
      <w:r w:rsidRPr="004E47DA">
        <w:rPr>
          <w:rFonts w:ascii="Times New Roman" w:eastAsia="Times New Roman" w:hAnsi="Times New Roman" w:cs="Times New Roman"/>
          <w:b/>
          <w:bCs/>
          <w:i/>
          <w:iCs/>
          <w:color w:val="538135" w:themeColor="accent6" w:themeShade="BF"/>
        </w:rPr>
        <w:t>(in extremely rare cases):</w:t>
      </w:r>
      <w:bookmarkEnd w:id="5"/>
    </w:p>
    <w:p w14:paraId="45763017" w14:textId="77777777" w:rsidR="007562A8" w:rsidRDefault="007562A8" w:rsidP="007562A8">
      <w:pPr>
        <w:pStyle w:val="ListParagraph"/>
        <w:numPr>
          <w:ilvl w:val="0"/>
          <w:numId w:val="5"/>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Davis Bacon Act</w:t>
      </w:r>
      <w:r w:rsidRPr="00897664">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sz w:val="24"/>
          <w:szCs w:val="24"/>
        </w:rPr>
        <w:t xml:space="preserve">Include this in USDA approved construction contracts in excess of $2,000. </w:t>
      </w:r>
    </w:p>
    <w:p w14:paraId="621FBCCB" w14:textId="77777777" w:rsidR="007562A8" w:rsidRDefault="007562A8" w:rsidP="007562A8">
      <w:pPr>
        <w:pStyle w:val="ListParagraph"/>
        <w:numPr>
          <w:ilvl w:val="1"/>
          <w:numId w:val="5"/>
        </w:numPr>
        <w:spacing w:line="257" w:lineRule="auto"/>
        <w:rPr>
          <w:rFonts w:eastAsiaTheme="minorEastAsia"/>
          <w:sz w:val="24"/>
          <w:szCs w:val="24"/>
        </w:rPr>
      </w:pPr>
      <w:r w:rsidRPr="0E7CED42">
        <w:rPr>
          <w:rFonts w:ascii="Times New Roman" w:eastAsia="Times New Roman" w:hAnsi="Times New Roman" w:cs="Times New Roman"/>
          <w:sz w:val="24"/>
          <w:szCs w:val="24"/>
        </w:rPr>
        <w:t xml:space="preserve">2 CFR Appendix II to Part 200, Section (D). </w:t>
      </w:r>
    </w:p>
    <w:p w14:paraId="769A9ACC" w14:textId="77777777" w:rsidR="007562A8" w:rsidRDefault="007562A8" w:rsidP="007562A8">
      <w:pPr>
        <w:pStyle w:val="ListParagraph"/>
        <w:numPr>
          <w:ilvl w:val="0"/>
          <w:numId w:val="5"/>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Copeland “Anti-Kickback” Act</w:t>
      </w:r>
      <w:r w:rsidRPr="00897664">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sz w:val="24"/>
          <w:szCs w:val="24"/>
        </w:rPr>
        <w:t xml:space="preserve"> Include this, jointly, with the Davis Bacon Act,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 xml:space="preserve">in USDA approved construction contracts in excess of $2,000. </w:t>
      </w:r>
    </w:p>
    <w:p w14:paraId="24318942" w14:textId="77777777" w:rsidR="007562A8" w:rsidRPr="005B3C90" w:rsidRDefault="007562A8" w:rsidP="007562A8">
      <w:pPr>
        <w:pStyle w:val="ListParagraph"/>
        <w:numPr>
          <w:ilvl w:val="1"/>
          <w:numId w:val="5"/>
        </w:numPr>
        <w:spacing w:line="257" w:lineRule="auto"/>
        <w:rPr>
          <w:rFonts w:eastAsiaTheme="minorEastAsia"/>
          <w:sz w:val="24"/>
          <w:szCs w:val="24"/>
        </w:rPr>
      </w:pPr>
      <w:r w:rsidRPr="3D1C39FE">
        <w:rPr>
          <w:rFonts w:ascii="Times New Roman" w:eastAsia="Times New Roman" w:hAnsi="Times New Roman" w:cs="Times New Roman"/>
          <w:sz w:val="24"/>
          <w:szCs w:val="24"/>
        </w:rPr>
        <w:t>2 CFR Appendix II to Part 200, Section (D) under the Davis Bacon Act.</w:t>
      </w:r>
    </w:p>
    <w:p w14:paraId="1B6B7A47" w14:textId="77777777" w:rsidR="007562A8" w:rsidRDefault="007562A8" w:rsidP="007562A8">
      <w:pPr>
        <w:spacing w:line="257" w:lineRule="auto"/>
        <w:rPr>
          <w:rFonts w:eastAsiaTheme="minorEastAsia"/>
          <w:sz w:val="24"/>
          <w:szCs w:val="24"/>
        </w:rPr>
      </w:pPr>
    </w:p>
    <w:p w14:paraId="053EAC58" w14:textId="77777777" w:rsidR="007562A8" w:rsidRPr="005B3C90" w:rsidRDefault="007562A8" w:rsidP="007562A8">
      <w:pPr>
        <w:spacing w:line="257" w:lineRule="auto"/>
        <w:rPr>
          <w:rFonts w:eastAsiaTheme="minorEastAsia"/>
          <w:sz w:val="24"/>
          <w:szCs w:val="24"/>
        </w:rPr>
      </w:pPr>
    </w:p>
    <w:p w14:paraId="5066686F" w14:textId="77777777" w:rsidR="007562A8" w:rsidRPr="004E47DA" w:rsidRDefault="007562A8" w:rsidP="007562A8">
      <w:pPr>
        <w:pStyle w:val="Heading3"/>
        <w:rPr>
          <w:b/>
          <w:bCs/>
          <w:color w:val="538135" w:themeColor="accent6" w:themeShade="BF"/>
        </w:rPr>
      </w:pPr>
      <w:bookmarkStart w:id="6" w:name="_Toc50985876"/>
      <w:r w:rsidRPr="004E47DA">
        <w:rPr>
          <w:rFonts w:ascii="Times New Roman" w:eastAsia="Times New Roman" w:hAnsi="Times New Roman" w:cs="Times New Roman"/>
          <w:b/>
          <w:bCs/>
          <w:color w:val="538135" w:themeColor="accent6" w:themeShade="BF"/>
        </w:rPr>
        <w:t>Contracts greater than $10,000:</w:t>
      </w:r>
      <w:bookmarkEnd w:id="6"/>
    </w:p>
    <w:p w14:paraId="03C15A92" w14:textId="77777777" w:rsidR="007562A8" w:rsidRDefault="007562A8" w:rsidP="007562A8">
      <w:pPr>
        <w:pStyle w:val="ListParagraph"/>
        <w:numPr>
          <w:ilvl w:val="0"/>
          <w:numId w:val="4"/>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Termination for Cause and Convenience</w:t>
      </w:r>
      <w:r w:rsidRPr="00897664">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color w:val="000000" w:themeColor="text1"/>
          <w:sz w:val="24"/>
          <w:szCs w:val="24"/>
        </w:rPr>
        <w:t>Include this in all contracts in excess of $10,000 and incorporate how it will affect both parties and the basis for settlement.</w:t>
      </w:r>
    </w:p>
    <w:p w14:paraId="2BBC4A43" w14:textId="77777777" w:rsidR="007562A8" w:rsidRDefault="007562A8" w:rsidP="007562A8">
      <w:pPr>
        <w:pStyle w:val="ListParagraph"/>
        <w:numPr>
          <w:ilvl w:val="1"/>
          <w:numId w:val="4"/>
        </w:numPr>
        <w:spacing w:line="257" w:lineRule="auto"/>
        <w:rPr>
          <w:rFonts w:eastAsiaTheme="minorEastAsia"/>
          <w:sz w:val="24"/>
          <w:szCs w:val="24"/>
        </w:rPr>
      </w:pPr>
      <w:r w:rsidRPr="3D1C39FE">
        <w:rPr>
          <w:rFonts w:ascii="Times New Roman" w:eastAsia="Times New Roman" w:hAnsi="Times New Roman" w:cs="Times New Roman"/>
          <w:sz w:val="24"/>
          <w:szCs w:val="24"/>
        </w:rPr>
        <w:lastRenderedPageBreak/>
        <w:t>2 CFR Appendix II to Part 200, Section (B).</w:t>
      </w:r>
    </w:p>
    <w:p w14:paraId="7179C128" w14:textId="77777777" w:rsidR="007562A8" w:rsidRDefault="007562A8" w:rsidP="007562A8">
      <w:pPr>
        <w:pStyle w:val="ListParagraph"/>
        <w:numPr>
          <w:ilvl w:val="0"/>
          <w:numId w:val="4"/>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Equal Employment Opportunity</w:t>
      </w:r>
      <w:r w:rsidRPr="00897664">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3D1C39FE">
        <w:rPr>
          <w:rFonts w:ascii="Times New Roman" w:eastAsia="Times New Roman" w:hAnsi="Times New Roman" w:cs="Times New Roman"/>
          <w:sz w:val="24"/>
          <w:szCs w:val="24"/>
        </w:rPr>
        <w:t xml:space="preserve"> </w:t>
      </w:r>
      <w:r w:rsidRPr="3D1C39FE">
        <w:rPr>
          <w:rFonts w:ascii="Times New Roman" w:eastAsia="Times New Roman" w:hAnsi="Times New Roman" w:cs="Times New Roman"/>
          <w:color w:val="000000" w:themeColor="text1"/>
          <w:sz w:val="24"/>
          <w:szCs w:val="24"/>
        </w:rPr>
        <w:t>Include this in all contracts in excess of $10,000</w:t>
      </w:r>
      <w:r w:rsidRPr="3D1C39FE">
        <w:rPr>
          <w:rFonts w:ascii="Times New Roman" w:eastAsia="Times New Roman" w:hAnsi="Times New Roman" w:cs="Times New Roman"/>
          <w:color w:val="212121"/>
          <w:sz w:val="24"/>
          <w:szCs w:val="24"/>
        </w:rPr>
        <w:t xml:space="preserve">. </w:t>
      </w:r>
    </w:p>
    <w:p w14:paraId="66F40D0C" w14:textId="77777777" w:rsidR="007562A8" w:rsidRDefault="007562A8" w:rsidP="007562A8">
      <w:pPr>
        <w:pStyle w:val="ListParagraph"/>
        <w:numPr>
          <w:ilvl w:val="1"/>
          <w:numId w:val="4"/>
        </w:numPr>
        <w:spacing w:line="257" w:lineRule="auto"/>
        <w:rPr>
          <w:rFonts w:eastAsiaTheme="minorEastAsia"/>
          <w:sz w:val="24"/>
          <w:szCs w:val="24"/>
        </w:rPr>
      </w:pPr>
      <w:r w:rsidRPr="3D1C39FE">
        <w:rPr>
          <w:rFonts w:ascii="Times New Roman" w:eastAsia="Times New Roman" w:hAnsi="Times New Roman" w:cs="Times New Roman"/>
          <w:sz w:val="24"/>
          <w:szCs w:val="24"/>
        </w:rPr>
        <w:t>2 CFR Appendix II to Part 200, Section (C).</w:t>
      </w:r>
    </w:p>
    <w:p w14:paraId="3BA56664" w14:textId="77777777" w:rsidR="007562A8" w:rsidRDefault="007562A8" w:rsidP="007562A8">
      <w:pPr>
        <w:pStyle w:val="ListParagraph"/>
        <w:numPr>
          <w:ilvl w:val="0"/>
          <w:numId w:val="4"/>
        </w:numPr>
        <w:spacing w:line="257" w:lineRule="auto"/>
        <w:rPr>
          <w:rFonts w:eastAsiaTheme="minorEastAsia"/>
          <w:b/>
          <w:bCs/>
          <w:sz w:val="24"/>
          <w:szCs w:val="24"/>
        </w:rPr>
      </w:pPr>
      <w:r w:rsidRPr="3D1C39FE">
        <w:rPr>
          <w:rFonts w:ascii="Times New Roman" w:eastAsia="Times New Roman" w:hAnsi="Times New Roman" w:cs="Times New Roman"/>
          <w:b/>
          <w:bCs/>
          <w:sz w:val="24"/>
          <w:szCs w:val="24"/>
        </w:rPr>
        <w:t>Procurement of Recovered Materials</w:t>
      </w:r>
      <w:r w:rsidRPr="00897664">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color w:val="000000" w:themeColor="text1"/>
          <w:sz w:val="24"/>
          <w:szCs w:val="24"/>
        </w:rPr>
        <w:t xml:space="preserve">Include this in all contracts where the purchase price of items designated by the Environmental Protection Agency (EPA) at 40 C.F.R. part 247 exceeds $10,000 or the value of the quantity procured during the prior fiscal year exceeded $10,000. </w:t>
      </w:r>
    </w:p>
    <w:p w14:paraId="5355ECC8" w14:textId="77777777" w:rsidR="007562A8" w:rsidRDefault="007562A8" w:rsidP="007562A8">
      <w:pPr>
        <w:pStyle w:val="ListParagraph"/>
        <w:numPr>
          <w:ilvl w:val="1"/>
          <w:numId w:val="4"/>
        </w:numPr>
        <w:spacing w:line="257" w:lineRule="auto"/>
        <w:rPr>
          <w:rFonts w:eastAsiaTheme="minorEastAsia"/>
          <w:sz w:val="24"/>
          <w:szCs w:val="24"/>
        </w:rPr>
      </w:pPr>
      <w:r w:rsidRPr="48D1A336">
        <w:rPr>
          <w:rFonts w:ascii="Times New Roman" w:eastAsia="Times New Roman" w:hAnsi="Times New Roman" w:cs="Times New Roman"/>
          <w:sz w:val="24"/>
          <w:szCs w:val="24"/>
        </w:rPr>
        <w:t>2 CFR 200.322 and 2 CFR Appendix II to Part 200, Section (J)</w:t>
      </w:r>
    </w:p>
    <w:p w14:paraId="2269A86C" w14:textId="77777777" w:rsidR="007562A8" w:rsidRPr="004E47DA" w:rsidRDefault="007562A8" w:rsidP="007562A8">
      <w:pPr>
        <w:pStyle w:val="Heading3"/>
        <w:rPr>
          <w:b/>
          <w:bCs/>
          <w:color w:val="538135" w:themeColor="accent6" w:themeShade="BF"/>
        </w:rPr>
      </w:pPr>
      <w:bookmarkStart w:id="7" w:name="_Toc50985877"/>
      <w:r w:rsidRPr="004E47DA">
        <w:rPr>
          <w:rFonts w:ascii="Times New Roman" w:eastAsia="Times New Roman" w:hAnsi="Times New Roman" w:cs="Times New Roman"/>
          <w:b/>
          <w:bCs/>
          <w:color w:val="538135" w:themeColor="accent6" w:themeShade="BF"/>
        </w:rPr>
        <w:t>Contracts greater than $100,000:</w:t>
      </w:r>
      <w:bookmarkEnd w:id="7"/>
    </w:p>
    <w:p w14:paraId="4A6F0310" w14:textId="77777777" w:rsidR="007562A8" w:rsidRDefault="007562A8" w:rsidP="007562A8">
      <w:pPr>
        <w:pStyle w:val="ListParagraph"/>
        <w:numPr>
          <w:ilvl w:val="0"/>
          <w:numId w:val="3"/>
        </w:numPr>
        <w:spacing w:line="257" w:lineRule="auto"/>
        <w:ind w:left="810" w:hanging="450"/>
        <w:rPr>
          <w:rFonts w:eastAsiaTheme="minorEastAsia"/>
          <w:b/>
          <w:bCs/>
          <w:sz w:val="24"/>
          <w:szCs w:val="24"/>
        </w:rPr>
      </w:pPr>
      <w:r w:rsidRPr="3D1C39FE">
        <w:rPr>
          <w:rFonts w:ascii="Times New Roman" w:eastAsia="Times New Roman" w:hAnsi="Times New Roman" w:cs="Times New Roman"/>
          <w:b/>
          <w:bCs/>
          <w:sz w:val="24"/>
          <w:szCs w:val="24"/>
        </w:rPr>
        <w:t>Byrd Anti-Lobbying Amendment</w:t>
      </w:r>
      <w:r>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b/>
          <w:bCs/>
          <w:sz w:val="24"/>
          <w:szCs w:val="24"/>
        </w:rPr>
        <w:t xml:space="preserve"> </w:t>
      </w:r>
      <w:r w:rsidRPr="3D1C39FE">
        <w:rPr>
          <w:rFonts w:ascii="Times New Roman" w:eastAsia="Times New Roman" w:hAnsi="Times New Roman" w:cs="Times New Roman"/>
          <w:sz w:val="24"/>
          <w:szCs w:val="24"/>
        </w:rPr>
        <w:t xml:space="preserve">Contractors that apply or bid for an award of $100,000 or more must file the required certification. </w:t>
      </w:r>
    </w:p>
    <w:p w14:paraId="1FD54FC3" w14:textId="77777777" w:rsidR="007562A8" w:rsidRPr="00DC2EB9" w:rsidRDefault="007562A8" w:rsidP="007562A8">
      <w:pPr>
        <w:pStyle w:val="ListParagraph"/>
        <w:numPr>
          <w:ilvl w:val="1"/>
          <w:numId w:val="3"/>
        </w:numPr>
        <w:tabs>
          <w:tab w:val="left" w:pos="2430"/>
        </w:tabs>
        <w:spacing w:line="257" w:lineRule="auto"/>
        <w:ind w:left="1530"/>
        <w:rPr>
          <w:rFonts w:eastAsiaTheme="minorEastAsia"/>
          <w:sz w:val="24"/>
          <w:szCs w:val="24"/>
        </w:rPr>
      </w:pPr>
      <w:r w:rsidRPr="3D1C39FE">
        <w:rPr>
          <w:rFonts w:ascii="Times New Roman" w:eastAsia="Times New Roman" w:hAnsi="Times New Roman" w:cs="Times New Roman"/>
          <w:sz w:val="24"/>
          <w:szCs w:val="24"/>
        </w:rPr>
        <w:t>2 CFR Appendix II to Part 200, Section (I), and 31 U.S.C. 1352</w:t>
      </w:r>
    </w:p>
    <w:p w14:paraId="5561A23D" w14:textId="77777777" w:rsidR="007562A8" w:rsidRDefault="007562A8" w:rsidP="007562A8">
      <w:pPr>
        <w:pStyle w:val="ListParagraph"/>
        <w:numPr>
          <w:ilvl w:val="1"/>
          <w:numId w:val="3"/>
        </w:numPr>
        <w:tabs>
          <w:tab w:val="left" w:pos="2430"/>
        </w:tabs>
        <w:spacing w:line="257" w:lineRule="auto"/>
        <w:ind w:left="1530"/>
        <w:rPr>
          <w:rFonts w:eastAsiaTheme="minorEastAsia"/>
          <w:sz w:val="24"/>
          <w:szCs w:val="24"/>
        </w:rPr>
      </w:pPr>
      <w:r>
        <w:rPr>
          <w:rFonts w:ascii="Times New Roman" w:eastAsia="Times New Roman" w:hAnsi="Times New Roman" w:cs="Times New Roman"/>
          <w:sz w:val="24"/>
          <w:szCs w:val="24"/>
        </w:rPr>
        <w:t>Refer to Attachment I in Procurement Manual</w:t>
      </w:r>
    </w:p>
    <w:p w14:paraId="1D99D30E" w14:textId="77777777" w:rsidR="007562A8" w:rsidRDefault="007562A8" w:rsidP="007562A8">
      <w:pPr>
        <w:pStyle w:val="ListParagraph"/>
        <w:numPr>
          <w:ilvl w:val="0"/>
          <w:numId w:val="3"/>
        </w:numPr>
        <w:spacing w:line="257" w:lineRule="auto"/>
        <w:ind w:left="810" w:hanging="450"/>
        <w:rPr>
          <w:rFonts w:eastAsiaTheme="minorEastAsia"/>
          <w:b/>
          <w:bCs/>
          <w:sz w:val="24"/>
          <w:szCs w:val="24"/>
        </w:rPr>
      </w:pPr>
      <w:r w:rsidRPr="3D1C39FE">
        <w:rPr>
          <w:rFonts w:ascii="Times New Roman" w:eastAsia="Times New Roman" w:hAnsi="Times New Roman" w:cs="Times New Roman"/>
          <w:b/>
          <w:bCs/>
          <w:sz w:val="24"/>
          <w:szCs w:val="24"/>
        </w:rPr>
        <w:t>Contract Work Hours/Safety Standards Ac</w:t>
      </w:r>
      <w:r w:rsidRPr="00897664">
        <w:rPr>
          <w:rFonts w:ascii="Times New Roman" w:eastAsia="Times New Roman" w:hAnsi="Times New Roman" w:cs="Times New Roman"/>
          <w:b/>
          <w:bCs/>
          <w:sz w:val="24"/>
          <w:szCs w:val="24"/>
        </w:rPr>
        <w:t>t:</w:t>
      </w:r>
      <w:r>
        <w:rPr>
          <w:rFonts w:ascii="Times New Roman" w:eastAsia="Times New Roman" w:hAnsi="Times New Roman" w:cs="Times New Roman"/>
          <w:sz w:val="24"/>
          <w:szCs w:val="24"/>
        </w:rPr>
        <w:t xml:space="preserve">  </w:t>
      </w:r>
      <w:r w:rsidRPr="3D1C39FE">
        <w:rPr>
          <w:rFonts w:ascii="Times New Roman" w:eastAsia="Times New Roman" w:hAnsi="Times New Roman" w:cs="Times New Roman"/>
          <w:sz w:val="24"/>
          <w:szCs w:val="24"/>
        </w:rPr>
        <w:t xml:space="preserve"> Include this provision </w:t>
      </w:r>
      <w:r w:rsidRPr="3D1C39FE">
        <w:rPr>
          <w:rFonts w:ascii="Times New Roman" w:eastAsia="Times New Roman" w:hAnsi="Times New Roman" w:cs="Times New Roman"/>
          <w:color w:val="000000" w:themeColor="text1"/>
          <w:sz w:val="24"/>
          <w:szCs w:val="24"/>
        </w:rPr>
        <w:t>in all contracts in excess of $100,000 and in cases where</w:t>
      </w:r>
      <w:r w:rsidRPr="3D1C39FE">
        <w:rPr>
          <w:rFonts w:ascii="Times New Roman" w:eastAsia="Times New Roman" w:hAnsi="Times New Roman" w:cs="Times New Roman"/>
          <w:sz w:val="24"/>
          <w:szCs w:val="24"/>
        </w:rPr>
        <w:t xml:space="preserve"> your program’s School Nutrition funds will be paying the contractor and/or its workers for overtime.</w:t>
      </w:r>
    </w:p>
    <w:p w14:paraId="31429235" w14:textId="77777777" w:rsidR="007562A8" w:rsidRDefault="007562A8" w:rsidP="007562A8">
      <w:pPr>
        <w:pStyle w:val="ListParagraph"/>
        <w:numPr>
          <w:ilvl w:val="1"/>
          <w:numId w:val="3"/>
        </w:numPr>
        <w:spacing w:line="257" w:lineRule="auto"/>
        <w:ind w:left="1440" w:hanging="270"/>
        <w:rPr>
          <w:rFonts w:eastAsiaTheme="minorEastAsia"/>
          <w:sz w:val="24"/>
          <w:szCs w:val="24"/>
        </w:rPr>
      </w:pPr>
      <w:r w:rsidRPr="3D1C39FE">
        <w:rPr>
          <w:rFonts w:ascii="Times New Roman" w:eastAsia="Times New Roman" w:hAnsi="Times New Roman" w:cs="Times New Roman"/>
          <w:sz w:val="24"/>
          <w:szCs w:val="24"/>
        </w:rPr>
        <w:t>2 CFR Appendix II to Part 200, Section (E).</w:t>
      </w:r>
    </w:p>
    <w:p w14:paraId="61EFD817" w14:textId="77777777" w:rsidR="007562A8" w:rsidRDefault="007562A8" w:rsidP="007562A8">
      <w:pPr>
        <w:pStyle w:val="ListParagraph"/>
        <w:numPr>
          <w:ilvl w:val="0"/>
          <w:numId w:val="3"/>
        </w:numPr>
        <w:spacing w:line="257" w:lineRule="auto"/>
        <w:ind w:left="810" w:hanging="450"/>
        <w:rPr>
          <w:rFonts w:eastAsiaTheme="minorEastAsia"/>
          <w:b/>
          <w:bCs/>
          <w:sz w:val="24"/>
          <w:szCs w:val="24"/>
        </w:rPr>
      </w:pPr>
      <w:r w:rsidRPr="3D1C39FE">
        <w:rPr>
          <w:rFonts w:ascii="Times New Roman" w:eastAsia="Times New Roman" w:hAnsi="Times New Roman" w:cs="Times New Roman"/>
          <w:b/>
          <w:bCs/>
          <w:sz w:val="24"/>
          <w:szCs w:val="24"/>
        </w:rPr>
        <w:t>Rights to Inventions Made Under a Contract or Agreement</w:t>
      </w:r>
      <w:r w:rsidRPr="0089766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 </w:t>
      </w:r>
      <w:r w:rsidRPr="3D1C39FE">
        <w:rPr>
          <w:rFonts w:ascii="Times New Roman" w:eastAsia="Times New Roman" w:hAnsi="Times New Roman" w:cs="Times New Roman"/>
          <w:sz w:val="24"/>
          <w:szCs w:val="24"/>
        </w:rPr>
        <w:t xml:space="preserve">Include this provision </w:t>
      </w:r>
      <w:r w:rsidRPr="3D1C39FE">
        <w:rPr>
          <w:rFonts w:ascii="Times New Roman" w:eastAsia="Times New Roman" w:hAnsi="Times New Roman" w:cs="Times New Roman"/>
          <w:color w:val="000000" w:themeColor="text1"/>
          <w:sz w:val="24"/>
          <w:szCs w:val="24"/>
        </w:rPr>
        <w:t>in all contracts in excess of $100,000 and i</w:t>
      </w:r>
      <w:r w:rsidRPr="3D1C39FE">
        <w:rPr>
          <w:rFonts w:ascii="Times New Roman" w:eastAsia="Times New Roman" w:hAnsi="Times New Roman" w:cs="Times New Roman"/>
          <w:sz w:val="24"/>
          <w:szCs w:val="24"/>
        </w:rPr>
        <w:t xml:space="preserve">f experimental, developmental, or research is performed under a “funding agreement.” </w:t>
      </w:r>
    </w:p>
    <w:p w14:paraId="4941C638" w14:textId="77777777" w:rsidR="007562A8" w:rsidRDefault="007562A8" w:rsidP="007562A8">
      <w:pPr>
        <w:pStyle w:val="ListParagraph"/>
        <w:numPr>
          <w:ilvl w:val="1"/>
          <w:numId w:val="3"/>
        </w:numPr>
        <w:spacing w:line="257" w:lineRule="auto"/>
        <w:ind w:left="1440" w:hanging="270"/>
        <w:rPr>
          <w:rFonts w:eastAsiaTheme="minorEastAsia"/>
          <w:sz w:val="24"/>
          <w:szCs w:val="24"/>
        </w:rPr>
      </w:pPr>
      <w:r w:rsidRPr="48D1A336">
        <w:rPr>
          <w:rFonts w:ascii="Times New Roman" w:eastAsia="Times New Roman" w:hAnsi="Times New Roman" w:cs="Times New Roman"/>
          <w:sz w:val="24"/>
          <w:szCs w:val="24"/>
        </w:rPr>
        <w:t>2 CFR Appendix II to Part 200, Section (F).</w:t>
      </w:r>
    </w:p>
    <w:p w14:paraId="7B5E2057" w14:textId="77777777" w:rsidR="007562A8" w:rsidRPr="004E47DA" w:rsidRDefault="007562A8" w:rsidP="007562A8">
      <w:pPr>
        <w:pStyle w:val="Heading3"/>
        <w:rPr>
          <w:b/>
          <w:bCs/>
          <w:color w:val="538135" w:themeColor="accent6" w:themeShade="BF"/>
        </w:rPr>
      </w:pPr>
      <w:bookmarkStart w:id="8" w:name="_Toc50985878"/>
      <w:r w:rsidRPr="004E47DA">
        <w:rPr>
          <w:rFonts w:ascii="Times New Roman" w:eastAsia="Times New Roman" w:hAnsi="Times New Roman" w:cs="Times New Roman"/>
          <w:b/>
          <w:bCs/>
          <w:color w:val="538135" w:themeColor="accent6" w:themeShade="BF"/>
        </w:rPr>
        <w:t>Contracts greater than $150,000:</w:t>
      </w:r>
      <w:bookmarkEnd w:id="8"/>
    </w:p>
    <w:p w14:paraId="650BAD2D" w14:textId="77777777" w:rsidR="007562A8" w:rsidRDefault="007562A8" w:rsidP="007562A8">
      <w:pPr>
        <w:pStyle w:val="ListParagraph"/>
        <w:numPr>
          <w:ilvl w:val="0"/>
          <w:numId w:val="2"/>
        </w:numPr>
        <w:tabs>
          <w:tab w:val="left" w:pos="810"/>
        </w:tabs>
        <w:spacing w:line="257" w:lineRule="auto"/>
        <w:ind w:left="810"/>
        <w:rPr>
          <w:rFonts w:eastAsiaTheme="minorEastAsia"/>
          <w:b/>
          <w:bCs/>
          <w:sz w:val="24"/>
          <w:szCs w:val="24"/>
        </w:rPr>
      </w:pPr>
      <w:r w:rsidRPr="3D1C39FE">
        <w:rPr>
          <w:rFonts w:ascii="Times New Roman" w:eastAsia="Times New Roman" w:hAnsi="Times New Roman" w:cs="Times New Roman"/>
          <w:b/>
          <w:bCs/>
          <w:sz w:val="24"/>
          <w:szCs w:val="24"/>
        </w:rPr>
        <w:t>Clean Air and the Federal Water Pollution Control Act</w:t>
      </w:r>
      <w:r w:rsidRPr="00897664">
        <w:rPr>
          <w:rFonts w:ascii="Times New Roman" w:eastAsia="Times New Roman" w:hAnsi="Times New Roman" w:cs="Times New Roman"/>
          <w:b/>
          <w:bCs/>
          <w:sz w:val="24"/>
          <w:szCs w:val="24"/>
        </w:rPr>
        <w:t>:</w:t>
      </w:r>
      <w:r w:rsidRPr="3D1C39FE">
        <w:rPr>
          <w:rFonts w:ascii="Times New Roman" w:eastAsia="Times New Roman" w:hAnsi="Times New Roman" w:cs="Times New Roman"/>
          <w:sz w:val="24"/>
          <w:szCs w:val="24"/>
        </w:rPr>
        <w:t xml:space="preserve"> Include this provision </w:t>
      </w:r>
      <w:r w:rsidRPr="3D1C39FE">
        <w:rPr>
          <w:rFonts w:ascii="Times New Roman" w:eastAsia="Times New Roman" w:hAnsi="Times New Roman" w:cs="Times New Roman"/>
          <w:color w:val="000000" w:themeColor="text1"/>
          <w:sz w:val="24"/>
          <w:szCs w:val="24"/>
        </w:rPr>
        <w:t xml:space="preserve">in all contracts in excess of $150,000. </w:t>
      </w:r>
    </w:p>
    <w:p w14:paraId="0BFF960E" w14:textId="77777777" w:rsidR="007562A8" w:rsidRPr="004E47DA" w:rsidRDefault="007562A8" w:rsidP="007562A8">
      <w:pPr>
        <w:pStyle w:val="ListParagraph"/>
        <w:numPr>
          <w:ilvl w:val="1"/>
          <w:numId w:val="2"/>
        </w:numPr>
        <w:tabs>
          <w:tab w:val="left" w:pos="810"/>
        </w:tabs>
        <w:spacing w:line="257" w:lineRule="auto"/>
        <w:rPr>
          <w:rFonts w:eastAsiaTheme="minorEastAsia"/>
          <w:b/>
          <w:bCs/>
          <w:color w:val="538135" w:themeColor="accent6" w:themeShade="BF"/>
          <w:sz w:val="24"/>
          <w:szCs w:val="24"/>
          <w:u w:val="single"/>
        </w:rPr>
      </w:pPr>
      <w:r w:rsidRPr="3D1C39FE">
        <w:rPr>
          <w:rFonts w:ascii="Times New Roman" w:eastAsia="Times New Roman" w:hAnsi="Times New Roman" w:cs="Times New Roman"/>
          <w:sz w:val="24"/>
          <w:szCs w:val="24"/>
        </w:rPr>
        <w:t xml:space="preserve">2 CFR Appendix II to Part 200, Section (G) and under Clean Air Act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 xml:space="preserve">(42 U.S.C. 7401 et. seq.) and the Federal Water Pollution Control Act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 xml:space="preserve">(33 U.S.C. 1251 et </w:t>
      </w:r>
      <w:r w:rsidRPr="000B690E">
        <w:rPr>
          <w:rFonts w:ascii="Times New Roman" w:eastAsia="Times New Roman" w:hAnsi="Times New Roman" w:cs="Times New Roman"/>
          <w:sz w:val="24"/>
          <w:szCs w:val="24"/>
        </w:rPr>
        <w:t>seq.).</w:t>
      </w:r>
    </w:p>
    <w:p w14:paraId="672C507B" w14:textId="77777777" w:rsidR="007562A8" w:rsidRPr="00897664" w:rsidRDefault="007562A8" w:rsidP="007562A8">
      <w:pPr>
        <w:pStyle w:val="Heading3"/>
        <w:ind w:left="810" w:hanging="810"/>
        <w:rPr>
          <w:b/>
          <w:bCs/>
          <w:color w:val="538135" w:themeColor="accent6" w:themeShade="BF"/>
        </w:rPr>
      </w:pPr>
      <w:bookmarkStart w:id="9" w:name="_Toc50985879"/>
      <w:r w:rsidRPr="00897664">
        <w:rPr>
          <w:rFonts w:ascii="Times New Roman" w:eastAsia="Times New Roman" w:hAnsi="Times New Roman" w:cs="Times New Roman"/>
          <w:b/>
          <w:bCs/>
          <w:color w:val="538135" w:themeColor="accent6" w:themeShade="BF"/>
        </w:rPr>
        <w:t>Contracts greater than $250,000:</w:t>
      </w:r>
      <w:bookmarkEnd w:id="9"/>
    </w:p>
    <w:p w14:paraId="2A185DC5" w14:textId="77777777" w:rsidR="007562A8" w:rsidRDefault="007562A8" w:rsidP="007562A8">
      <w:pPr>
        <w:pStyle w:val="ListParagraph"/>
        <w:numPr>
          <w:ilvl w:val="0"/>
          <w:numId w:val="2"/>
        </w:numPr>
        <w:spacing w:line="257" w:lineRule="auto"/>
        <w:ind w:left="810"/>
        <w:rPr>
          <w:rFonts w:eastAsiaTheme="minorEastAsia"/>
          <w:b/>
          <w:bCs/>
          <w:sz w:val="24"/>
          <w:szCs w:val="24"/>
        </w:rPr>
      </w:pPr>
      <w:r w:rsidRPr="3D1C39FE">
        <w:rPr>
          <w:rFonts w:ascii="Times New Roman" w:eastAsia="Times New Roman" w:hAnsi="Times New Roman" w:cs="Times New Roman"/>
          <w:b/>
          <w:bCs/>
          <w:sz w:val="24"/>
          <w:szCs w:val="24"/>
        </w:rPr>
        <w:t>Administrative, Contractual, or Legal Remedies for Breach of Contract</w:t>
      </w:r>
      <w:r w:rsidRPr="00897664">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br/>
      </w:r>
      <w:r w:rsidRPr="3D1C39FE">
        <w:rPr>
          <w:rFonts w:ascii="Times New Roman" w:eastAsia="Times New Roman" w:hAnsi="Times New Roman" w:cs="Times New Roman"/>
          <w:sz w:val="24"/>
          <w:szCs w:val="24"/>
        </w:rPr>
        <w:t xml:space="preserve">Include general language </w:t>
      </w:r>
      <w:r w:rsidRPr="3D1C39FE">
        <w:rPr>
          <w:rFonts w:ascii="Times New Roman" w:eastAsia="Times New Roman" w:hAnsi="Times New Roman" w:cs="Times New Roman"/>
          <w:color w:val="000000" w:themeColor="text1"/>
          <w:sz w:val="24"/>
          <w:szCs w:val="24"/>
        </w:rPr>
        <w:t>in all contracts in excess of $250,000 to address potential poor</w:t>
      </w:r>
      <w:r w:rsidRPr="3D1C39FE">
        <w:rPr>
          <w:rFonts w:ascii="Times New Roman" w:eastAsia="Times New Roman" w:hAnsi="Times New Roman" w:cs="Times New Roman"/>
          <w:sz w:val="24"/>
          <w:szCs w:val="24"/>
        </w:rPr>
        <w:t xml:space="preserve"> contractor performance, contractor responsibilities, and remedies for poor performance. </w:t>
      </w:r>
    </w:p>
    <w:p w14:paraId="03D2154D" w14:textId="77777777" w:rsidR="007562A8" w:rsidRDefault="007562A8" w:rsidP="007562A8">
      <w:pPr>
        <w:pStyle w:val="ListParagraph"/>
        <w:numPr>
          <w:ilvl w:val="1"/>
          <w:numId w:val="2"/>
        </w:numPr>
        <w:spacing w:line="257" w:lineRule="auto"/>
        <w:rPr>
          <w:rFonts w:eastAsiaTheme="minorEastAsia"/>
          <w:sz w:val="24"/>
          <w:szCs w:val="24"/>
        </w:rPr>
      </w:pPr>
      <w:r w:rsidRPr="3D1C39FE">
        <w:rPr>
          <w:rFonts w:ascii="Times New Roman" w:eastAsia="Times New Roman" w:hAnsi="Times New Roman" w:cs="Times New Roman"/>
          <w:sz w:val="24"/>
          <w:szCs w:val="24"/>
        </w:rPr>
        <w:t>2 CFR Appendix II to Part 200, Section (A).</w:t>
      </w:r>
    </w:p>
    <w:p w14:paraId="2D87F06F" w14:textId="77777777" w:rsidR="007562A8" w:rsidRDefault="007562A8" w:rsidP="007562A8">
      <w:pPr>
        <w:spacing w:after="0" w:line="240" w:lineRule="auto"/>
        <w:ind w:left="810" w:right="116" w:hanging="360"/>
        <w:jc w:val="center"/>
        <w:rPr>
          <w:rFonts w:ascii="Times New Roman" w:hAnsi="Times New Roman" w:cs="Times New Roman"/>
          <w:sz w:val="24"/>
          <w:szCs w:val="24"/>
        </w:rPr>
      </w:pPr>
    </w:p>
    <w:p w14:paraId="7AC5E270" w14:textId="5F7BD6C2" w:rsidR="000A0A1F" w:rsidRPr="007562A8" w:rsidRDefault="000A0A1F" w:rsidP="007562A8"/>
    <w:sectPr w:rsidR="000A0A1F" w:rsidRPr="007562A8" w:rsidSect="00641F4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3A8"/>
    <w:multiLevelType w:val="hybridMultilevel"/>
    <w:tmpl w:val="3CAE3508"/>
    <w:lvl w:ilvl="0" w:tplc="5BD0CAC6">
      <w:start w:val="1"/>
      <w:numFmt w:val="decimal"/>
      <w:lvlText w:val="%1."/>
      <w:lvlJc w:val="left"/>
      <w:pPr>
        <w:ind w:left="720" w:hanging="360"/>
      </w:pPr>
    </w:lvl>
    <w:lvl w:ilvl="1" w:tplc="7D409ADA">
      <w:start w:val="1"/>
      <w:numFmt w:val="bullet"/>
      <w:lvlText w:val=""/>
      <w:lvlJc w:val="left"/>
      <w:pPr>
        <w:ind w:left="1440" w:hanging="360"/>
      </w:pPr>
      <w:rPr>
        <w:rFonts w:ascii="Symbol" w:hAnsi="Symbol" w:hint="default"/>
        <w:color w:val="auto"/>
      </w:rPr>
    </w:lvl>
    <w:lvl w:ilvl="2" w:tplc="F372FEFC">
      <w:start w:val="1"/>
      <w:numFmt w:val="lowerRoman"/>
      <w:lvlText w:val="%3."/>
      <w:lvlJc w:val="right"/>
      <w:pPr>
        <w:ind w:left="2160" w:hanging="180"/>
      </w:pPr>
    </w:lvl>
    <w:lvl w:ilvl="3" w:tplc="9C54DD0E">
      <w:start w:val="1"/>
      <w:numFmt w:val="decimal"/>
      <w:lvlText w:val="%4."/>
      <w:lvlJc w:val="left"/>
      <w:pPr>
        <w:ind w:left="2880" w:hanging="360"/>
      </w:pPr>
    </w:lvl>
    <w:lvl w:ilvl="4" w:tplc="DB060860">
      <w:start w:val="1"/>
      <w:numFmt w:val="lowerLetter"/>
      <w:lvlText w:val="%5."/>
      <w:lvlJc w:val="left"/>
      <w:pPr>
        <w:ind w:left="3600" w:hanging="360"/>
      </w:pPr>
    </w:lvl>
    <w:lvl w:ilvl="5" w:tplc="BAD64182">
      <w:start w:val="1"/>
      <w:numFmt w:val="lowerRoman"/>
      <w:lvlText w:val="%6."/>
      <w:lvlJc w:val="right"/>
      <w:pPr>
        <w:ind w:left="4320" w:hanging="180"/>
      </w:pPr>
    </w:lvl>
    <w:lvl w:ilvl="6" w:tplc="9F9C8DBE">
      <w:start w:val="1"/>
      <w:numFmt w:val="decimal"/>
      <w:lvlText w:val="%7."/>
      <w:lvlJc w:val="left"/>
      <w:pPr>
        <w:ind w:left="5040" w:hanging="360"/>
      </w:pPr>
    </w:lvl>
    <w:lvl w:ilvl="7" w:tplc="567AF0EE">
      <w:start w:val="1"/>
      <w:numFmt w:val="lowerLetter"/>
      <w:lvlText w:val="%8."/>
      <w:lvlJc w:val="left"/>
      <w:pPr>
        <w:ind w:left="5760" w:hanging="360"/>
      </w:pPr>
    </w:lvl>
    <w:lvl w:ilvl="8" w:tplc="96A48598">
      <w:start w:val="1"/>
      <w:numFmt w:val="lowerRoman"/>
      <w:lvlText w:val="%9."/>
      <w:lvlJc w:val="right"/>
      <w:pPr>
        <w:ind w:left="6480" w:hanging="180"/>
      </w:pPr>
    </w:lvl>
  </w:abstractNum>
  <w:abstractNum w:abstractNumId="1" w15:restartNumberingAfterBreak="0">
    <w:nsid w:val="19A50166"/>
    <w:multiLevelType w:val="hybridMultilevel"/>
    <w:tmpl w:val="9336EE92"/>
    <w:lvl w:ilvl="0" w:tplc="11B47A10">
      <w:start w:val="1"/>
      <w:numFmt w:val="decimal"/>
      <w:lvlText w:val="%1."/>
      <w:lvlJc w:val="left"/>
      <w:pPr>
        <w:ind w:left="720" w:hanging="360"/>
      </w:pPr>
      <w:rPr>
        <w:b/>
        <w:bCs/>
      </w:rPr>
    </w:lvl>
    <w:lvl w:ilvl="1" w:tplc="99A4AA98">
      <w:start w:val="1"/>
      <w:numFmt w:val="bullet"/>
      <w:lvlText w:val=""/>
      <w:lvlJc w:val="left"/>
      <w:pPr>
        <w:ind w:left="1440" w:hanging="360"/>
      </w:pPr>
      <w:rPr>
        <w:rFonts w:ascii="Symbol" w:hAnsi="Symbol" w:hint="default"/>
      </w:rPr>
    </w:lvl>
    <w:lvl w:ilvl="2" w:tplc="06A4288A">
      <w:start w:val="1"/>
      <w:numFmt w:val="lowerRoman"/>
      <w:lvlText w:val="%3."/>
      <w:lvlJc w:val="right"/>
      <w:pPr>
        <w:ind w:left="2160" w:hanging="180"/>
      </w:pPr>
    </w:lvl>
    <w:lvl w:ilvl="3" w:tplc="C4A453F0">
      <w:start w:val="1"/>
      <w:numFmt w:val="decimal"/>
      <w:lvlText w:val="%4."/>
      <w:lvlJc w:val="left"/>
      <w:pPr>
        <w:ind w:left="2880" w:hanging="360"/>
      </w:pPr>
    </w:lvl>
    <w:lvl w:ilvl="4" w:tplc="72EC2114">
      <w:start w:val="1"/>
      <w:numFmt w:val="lowerLetter"/>
      <w:lvlText w:val="%5."/>
      <w:lvlJc w:val="left"/>
      <w:pPr>
        <w:ind w:left="3600" w:hanging="360"/>
      </w:pPr>
    </w:lvl>
    <w:lvl w:ilvl="5" w:tplc="8440FF2C">
      <w:start w:val="1"/>
      <w:numFmt w:val="lowerRoman"/>
      <w:lvlText w:val="%6."/>
      <w:lvlJc w:val="right"/>
      <w:pPr>
        <w:ind w:left="4320" w:hanging="180"/>
      </w:pPr>
    </w:lvl>
    <w:lvl w:ilvl="6" w:tplc="F2BE1756">
      <w:start w:val="1"/>
      <w:numFmt w:val="decimal"/>
      <w:lvlText w:val="%7."/>
      <w:lvlJc w:val="left"/>
      <w:pPr>
        <w:ind w:left="5040" w:hanging="360"/>
      </w:pPr>
    </w:lvl>
    <w:lvl w:ilvl="7" w:tplc="9D08AB0A">
      <w:start w:val="1"/>
      <w:numFmt w:val="lowerLetter"/>
      <w:lvlText w:val="%8."/>
      <w:lvlJc w:val="left"/>
      <w:pPr>
        <w:ind w:left="5760" w:hanging="360"/>
      </w:pPr>
    </w:lvl>
    <w:lvl w:ilvl="8" w:tplc="3C02A6F4">
      <w:start w:val="1"/>
      <w:numFmt w:val="lowerRoman"/>
      <w:lvlText w:val="%9."/>
      <w:lvlJc w:val="right"/>
      <w:pPr>
        <w:ind w:left="6480" w:hanging="180"/>
      </w:pPr>
    </w:lvl>
  </w:abstractNum>
  <w:abstractNum w:abstractNumId="2" w15:restartNumberingAfterBreak="0">
    <w:nsid w:val="41B86560"/>
    <w:multiLevelType w:val="hybridMultilevel"/>
    <w:tmpl w:val="FACE33CA"/>
    <w:lvl w:ilvl="0" w:tplc="3684B51E">
      <w:start w:val="1"/>
      <w:numFmt w:val="decimal"/>
      <w:lvlText w:val="%1."/>
      <w:lvlJc w:val="left"/>
      <w:pPr>
        <w:ind w:left="720" w:hanging="360"/>
      </w:pPr>
      <w:rPr>
        <w:b/>
        <w:bCs/>
      </w:rPr>
    </w:lvl>
    <w:lvl w:ilvl="1" w:tplc="7034F6E0">
      <w:start w:val="1"/>
      <w:numFmt w:val="bullet"/>
      <w:lvlText w:val=""/>
      <w:lvlJc w:val="left"/>
      <w:pPr>
        <w:ind w:left="1440" w:hanging="360"/>
      </w:pPr>
      <w:rPr>
        <w:rFonts w:ascii="Symbol" w:hAnsi="Symbol" w:hint="default"/>
      </w:rPr>
    </w:lvl>
    <w:lvl w:ilvl="2" w:tplc="9E9C7844">
      <w:start w:val="1"/>
      <w:numFmt w:val="lowerRoman"/>
      <w:lvlText w:val="%3."/>
      <w:lvlJc w:val="right"/>
      <w:pPr>
        <w:ind w:left="2160" w:hanging="180"/>
      </w:pPr>
    </w:lvl>
    <w:lvl w:ilvl="3" w:tplc="30DAABBE">
      <w:start w:val="1"/>
      <w:numFmt w:val="decimal"/>
      <w:lvlText w:val="%4."/>
      <w:lvlJc w:val="left"/>
      <w:pPr>
        <w:ind w:left="2880" w:hanging="360"/>
      </w:pPr>
    </w:lvl>
    <w:lvl w:ilvl="4" w:tplc="1918FD06">
      <w:start w:val="1"/>
      <w:numFmt w:val="lowerLetter"/>
      <w:lvlText w:val="%5."/>
      <w:lvlJc w:val="left"/>
      <w:pPr>
        <w:ind w:left="3600" w:hanging="360"/>
      </w:pPr>
    </w:lvl>
    <w:lvl w:ilvl="5" w:tplc="66B00C6E">
      <w:start w:val="1"/>
      <w:numFmt w:val="lowerRoman"/>
      <w:lvlText w:val="%6."/>
      <w:lvlJc w:val="right"/>
      <w:pPr>
        <w:ind w:left="4320" w:hanging="180"/>
      </w:pPr>
    </w:lvl>
    <w:lvl w:ilvl="6" w:tplc="1BE81A16">
      <w:start w:val="1"/>
      <w:numFmt w:val="decimal"/>
      <w:lvlText w:val="%7."/>
      <w:lvlJc w:val="left"/>
      <w:pPr>
        <w:ind w:left="5040" w:hanging="360"/>
      </w:pPr>
    </w:lvl>
    <w:lvl w:ilvl="7" w:tplc="174884A8">
      <w:start w:val="1"/>
      <w:numFmt w:val="lowerLetter"/>
      <w:lvlText w:val="%8."/>
      <w:lvlJc w:val="left"/>
      <w:pPr>
        <w:ind w:left="5760" w:hanging="360"/>
      </w:pPr>
    </w:lvl>
    <w:lvl w:ilvl="8" w:tplc="8ACEA26E">
      <w:start w:val="1"/>
      <w:numFmt w:val="lowerRoman"/>
      <w:lvlText w:val="%9."/>
      <w:lvlJc w:val="right"/>
      <w:pPr>
        <w:ind w:left="6480" w:hanging="180"/>
      </w:pPr>
    </w:lvl>
  </w:abstractNum>
  <w:abstractNum w:abstractNumId="3" w15:restartNumberingAfterBreak="0">
    <w:nsid w:val="41EC462B"/>
    <w:multiLevelType w:val="hybridMultilevel"/>
    <w:tmpl w:val="200CD06C"/>
    <w:lvl w:ilvl="0" w:tplc="6B5C1C14">
      <w:start w:val="1"/>
      <w:numFmt w:val="decimal"/>
      <w:lvlText w:val="%1."/>
      <w:lvlJc w:val="left"/>
      <w:pPr>
        <w:ind w:left="720" w:hanging="360"/>
      </w:pPr>
    </w:lvl>
    <w:lvl w:ilvl="1" w:tplc="90B03710">
      <w:start w:val="1"/>
      <w:numFmt w:val="bullet"/>
      <w:lvlText w:val=""/>
      <w:lvlJc w:val="left"/>
      <w:pPr>
        <w:ind w:left="1440" w:hanging="360"/>
      </w:pPr>
      <w:rPr>
        <w:rFonts w:ascii="Symbol" w:hAnsi="Symbol" w:hint="default"/>
      </w:rPr>
    </w:lvl>
    <w:lvl w:ilvl="2" w:tplc="F1EEEB98">
      <w:start w:val="1"/>
      <w:numFmt w:val="lowerRoman"/>
      <w:lvlText w:val="%3."/>
      <w:lvlJc w:val="right"/>
      <w:pPr>
        <w:ind w:left="2160" w:hanging="180"/>
      </w:pPr>
    </w:lvl>
    <w:lvl w:ilvl="3" w:tplc="CA303D6A">
      <w:start w:val="1"/>
      <w:numFmt w:val="decimal"/>
      <w:lvlText w:val="%4."/>
      <w:lvlJc w:val="left"/>
      <w:pPr>
        <w:ind w:left="2880" w:hanging="360"/>
      </w:pPr>
    </w:lvl>
    <w:lvl w:ilvl="4" w:tplc="5B42550E">
      <w:start w:val="1"/>
      <w:numFmt w:val="lowerLetter"/>
      <w:lvlText w:val="%5."/>
      <w:lvlJc w:val="left"/>
      <w:pPr>
        <w:ind w:left="3600" w:hanging="360"/>
      </w:pPr>
    </w:lvl>
    <w:lvl w:ilvl="5" w:tplc="945E5B8C">
      <w:start w:val="1"/>
      <w:numFmt w:val="lowerRoman"/>
      <w:lvlText w:val="%6."/>
      <w:lvlJc w:val="right"/>
      <w:pPr>
        <w:ind w:left="4320" w:hanging="180"/>
      </w:pPr>
    </w:lvl>
    <w:lvl w:ilvl="6" w:tplc="A7FCFB52">
      <w:start w:val="1"/>
      <w:numFmt w:val="decimal"/>
      <w:lvlText w:val="%7."/>
      <w:lvlJc w:val="left"/>
      <w:pPr>
        <w:ind w:left="5040" w:hanging="360"/>
      </w:pPr>
    </w:lvl>
    <w:lvl w:ilvl="7" w:tplc="2E4680F2">
      <w:start w:val="1"/>
      <w:numFmt w:val="lowerLetter"/>
      <w:lvlText w:val="%8."/>
      <w:lvlJc w:val="left"/>
      <w:pPr>
        <w:ind w:left="5760" w:hanging="360"/>
      </w:pPr>
    </w:lvl>
    <w:lvl w:ilvl="8" w:tplc="4EFA211E">
      <w:start w:val="1"/>
      <w:numFmt w:val="lowerRoman"/>
      <w:lvlText w:val="%9."/>
      <w:lvlJc w:val="right"/>
      <w:pPr>
        <w:ind w:left="6480" w:hanging="180"/>
      </w:pPr>
    </w:lvl>
  </w:abstractNum>
  <w:abstractNum w:abstractNumId="4" w15:restartNumberingAfterBreak="0">
    <w:nsid w:val="58BC6C44"/>
    <w:multiLevelType w:val="multilevel"/>
    <w:tmpl w:val="A47EE1E4"/>
    <w:lvl w:ilvl="0">
      <w:start w:val="1"/>
      <w:numFmt w:val="lowerRoman"/>
      <w:lvlText w:val="%1."/>
      <w:lvlJc w:val="right"/>
      <w:pPr>
        <w:ind w:left="1170" w:hanging="720"/>
      </w:pPr>
      <w:rPr>
        <w:rFonts w:ascii="Times New Roman" w:hAnsi="Times New Roman" w:hint="default"/>
        <w:b w:val="0"/>
        <w:bCs w:val="0"/>
        <w:i w:val="0"/>
        <w:caps w:val="0"/>
        <w:strike w:val="0"/>
        <w:dstrike w:val="0"/>
        <w:vanish w:val="0"/>
        <w:color w:val="auto"/>
        <w:spacing w:val="-21"/>
        <w:w w:val="100"/>
        <w:sz w:val="24"/>
        <w:szCs w:val="18"/>
        <w:vertAlign w:val="baseline"/>
      </w:rPr>
    </w:lvl>
    <w:lvl w:ilvl="1">
      <w:numFmt w:val="bullet"/>
      <w:lvlText w:val="•"/>
      <w:lvlJc w:val="left"/>
      <w:pPr>
        <w:ind w:left="2579" w:hanging="720"/>
      </w:pPr>
    </w:lvl>
    <w:lvl w:ilvl="2">
      <w:numFmt w:val="bullet"/>
      <w:lvlText w:val="•"/>
      <w:lvlJc w:val="left"/>
      <w:pPr>
        <w:ind w:left="3597" w:hanging="720"/>
      </w:pPr>
    </w:lvl>
    <w:lvl w:ilvl="3">
      <w:numFmt w:val="bullet"/>
      <w:lvlText w:val="•"/>
      <w:lvlJc w:val="left"/>
      <w:pPr>
        <w:ind w:left="4615" w:hanging="720"/>
      </w:pPr>
    </w:lvl>
    <w:lvl w:ilvl="4">
      <w:numFmt w:val="bullet"/>
      <w:lvlText w:val="•"/>
      <w:lvlJc w:val="left"/>
      <w:pPr>
        <w:ind w:left="5633" w:hanging="720"/>
      </w:pPr>
    </w:lvl>
    <w:lvl w:ilvl="5">
      <w:numFmt w:val="bullet"/>
      <w:lvlText w:val="•"/>
      <w:lvlJc w:val="left"/>
      <w:pPr>
        <w:ind w:left="6651" w:hanging="720"/>
      </w:pPr>
    </w:lvl>
    <w:lvl w:ilvl="6">
      <w:numFmt w:val="bullet"/>
      <w:lvlText w:val="•"/>
      <w:lvlJc w:val="left"/>
      <w:pPr>
        <w:ind w:left="7669" w:hanging="720"/>
      </w:pPr>
    </w:lvl>
    <w:lvl w:ilvl="7">
      <w:numFmt w:val="bullet"/>
      <w:lvlText w:val="•"/>
      <w:lvlJc w:val="left"/>
      <w:pPr>
        <w:ind w:left="8687" w:hanging="720"/>
      </w:pPr>
    </w:lvl>
    <w:lvl w:ilvl="8">
      <w:numFmt w:val="bullet"/>
      <w:lvlText w:val="•"/>
      <w:lvlJc w:val="left"/>
      <w:pPr>
        <w:ind w:left="9705" w:hanging="720"/>
      </w:pPr>
    </w:lvl>
  </w:abstractNum>
  <w:abstractNum w:abstractNumId="5" w15:restartNumberingAfterBreak="0">
    <w:nsid w:val="5E581248"/>
    <w:multiLevelType w:val="hybridMultilevel"/>
    <w:tmpl w:val="200CB86A"/>
    <w:lvl w:ilvl="0" w:tplc="6FC071D2">
      <w:start w:val="1"/>
      <w:numFmt w:val="decimal"/>
      <w:lvlText w:val="%1."/>
      <w:lvlJc w:val="left"/>
      <w:pPr>
        <w:ind w:left="1800" w:hanging="360"/>
      </w:pPr>
    </w:lvl>
    <w:lvl w:ilvl="1" w:tplc="2338627C">
      <w:start w:val="1"/>
      <w:numFmt w:val="bullet"/>
      <w:lvlText w:val=""/>
      <w:lvlJc w:val="left"/>
      <w:pPr>
        <w:ind w:left="1890" w:hanging="360"/>
      </w:pPr>
      <w:rPr>
        <w:rFonts w:ascii="Symbol" w:hAnsi="Symbol" w:hint="default"/>
      </w:rPr>
    </w:lvl>
    <w:lvl w:ilvl="2" w:tplc="A8681D12">
      <w:start w:val="1"/>
      <w:numFmt w:val="lowerRoman"/>
      <w:lvlText w:val="%3."/>
      <w:lvlJc w:val="right"/>
      <w:pPr>
        <w:ind w:left="3240" w:hanging="180"/>
      </w:pPr>
    </w:lvl>
    <w:lvl w:ilvl="3" w:tplc="AB00B108">
      <w:start w:val="1"/>
      <w:numFmt w:val="decimal"/>
      <w:lvlText w:val="%4."/>
      <w:lvlJc w:val="left"/>
      <w:pPr>
        <w:ind w:left="3960" w:hanging="360"/>
      </w:pPr>
    </w:lvl>
    <w:lvl w:ilvl="4" w:tplc="FBFC7580">
      <w:start w:val="1"/>
      <w:numFmt w:val="lowerLetter"/>
      <w:lvlText w:val="%5."/>
      <w:lvlJc w:val="left"/>
      <w:pPr>
        <w:ind w:left="4680" w:hanging="360"/>
      </w:pPr>
    </w:lvl>
    <w:lvl w:ilvl="5" w:tplc="0D6AFFC0">
      <w:start w:val="1"/>
      <w:numFmt w:val="lowerRoman"/>
      <w:lvlText w:val="%6."/>
      <w:lvlJc w:val="right"/>
      <w:pPr>
        <w:ind w:left="5400" w:hanging="180"/>
      </w:pPr>
    </w:lvl>
    <w:lvl w:ilvl="6" w:tplc="30D22FB8">
      <w:start w:val="1"/>
      <w:numFmt w:val="decimal"/>
      <w:lvlText w:val="%7."/>
      <w:lvlJc w:val="left"/>
      <w:pPr>
        <w:ind w:left="6120" w:hanging="360"/>
      </w:pPr>
    </w:lvl>
    <w:lvl w:ilvl="7" w:tplc="008686CC">
      <w:start w:val="1"/>
      <w:numFmt w:val="lowerLetter"/>
      <w:lvlText w:val="%8."/>
      <w:lvlJc w:val="left"/>
      <w:pPr>
        <w:ind w:left="6840" w:hanging="360"/>
      </w:pPr>
    </w:lvl>
    <w:lvl w:ilvl="8" w:tplc="C50ACC7C">
      <w:start w:val="1"/>
      <w:numFmt w:val="lowerRoman"/>
      <w:lvlText w:val="%9."/>
      <w:lvlJc w:val="right"/>
      <w:pPr>
        <w:ind w:left="7560" w:hanging="180"/>
      </w:pPr>
    </w:lvl>
  </w:abstractNum>
  <w:abstractNum w:abstractNumId="6" w15:restartNumberingAfterBreak="0">
    <w:nsid w:val="63771740"/>
    <w:multiLevelType w:val="hybridMultilevel"/>
    <w:tmpl w:val="3BE2DAC8"/>
    <w:lvl w:ilvl="0" w:tplc="AF96C4A0">
      <w:start w:val="1"/>
      <w:numFmt w:val="decimal"/>
      <w:lvlText w:val="%1."/>
      <w:lvlJc w:val="left"/>
      <w:pPr>
        <w:ind w:left="720" w:hanging="360"/>
      </w:pPr>
    </w:lvl>
    <w:lvl w:ilvl="1" w:tplc="C76024B6">
      <w:start w:val="1"/>
      <w:numFmt w:val="bullet"/>
      <w:lvlText w:val=""/>
      <w:lvlJc w:val="left"/>
      <w:pPr>
        <w:ind w:left="1440" w:hanging="360"/>
      </w:pPr>
      <w:rPr>
        <w:rFonts w:ascii="Symbol" w:hAnsi="Symbol" w:hint="default"/>
      </w:rPr>
    </w:lvl>
    <w:lvl w:ilvl="2" w:tplc="9DA442F6">
      <w:start w:val="1"/>
      <w:numFmt w:val="lowerRoman"/>
      <w:lvlText w:val="%3."/>
      <w:lvlJc w:val="right"/>
      <w:pPr>
        <w:ind w:left="2160" w:hanging="180"/>
      </w:pPr>
    </w:lvl>
    <w:lvl w:ilvl="3" w:tplc="69AEBD9E">
      <w:start w:val="1"/>
      <w:numFmt w:val="decimal"/>
      <w:lvlText w:val="%4."/>
      <w:lvlJc w:val="left"/>
      <w:pPr>
        <w:ind w:left="2880" w:hanging="360"/>
      </w:pPr>
    </w:lvl>
    <w:lvl w:ilvl="4" w:tplc="DB98FFC6">
      <w:start w:val="1"/>
      <w:numFmt w:val="lowerLetter"/>
      <w:lvlText w:val="%5."/>
      <w:lvlJc w:val="left"/>
      <w:pPr>
        <w:ind w:left="3600" w:hanging="360"/>
      </w:pPr>
    </w:lvl>
    <w:lvl w:ilvl="5" w:tplc="17DE000A">
      <w:start w:val="1"/>
      <w:numFmt w:val="lowerRoman"/>
      <w:lvlText w:val="%6."/>
      <w:lvlJc w:val="right"/>
      <w:pPr>
        <w:ind w:left="4320" w:hanging="180"/>
      </w:pPr>
    </w:lvl>
    <w:lvl w:ilvl="6" w:tplc="BBDA4FD6">
      <w:start w:val="1"/>
      <w:numFmt w:val="decimal"/>
      <w:lvlText w:val="%7."/>
      <w:lvlJc w:val="left"/>
      <w:pPr>
        <w:ind w:left="5040" w:hanging="360"/>
      </w:pPr>
    </w:lvl>
    <w:lvl w:ilvl="7" w:tplc="40FED06E">
      <w:start w:val="1"/>
      <w:numFmt w:val="lowerLetter"/>
      <w:lvlText w:val="%8."/>
      <w:lvlJc w:val="left"/>
      <w:pPr>
        <w:ind w:left="5760" w:hanging="360"/>
      </w:pPr>
    </w:lvl>
    <w:lvl w:ilvl="8" w:tplc="B3FA112E">
      <w:start w:val="1"/>
      <w:numFmt w:val="lowerRoman"/>
      <w:lvlText w:val="%9."/>
      <w:lvlJc w:val="right"/>
      <w:pPr>
        <w:ind w:left="6480" w:hanging="180"/>
      </w:pPr>
    </w:lvl>
  </w:abstractNum>
  <w:abstractNum w:abstractNumId="7" w15:restartNumberingAfterBreak="0">
    <w:nsid w:val="79F749C7"/>
    <w:multiLevelType w:val="hybridMultilevel"/>
    <w:tmpl w:val="4EDCC0BC"/>
    <w:lvl w:ilvl="0" w:tplc="933873C4">
      <w:start w:val="1"/>
      <w:numFmt w:val="decimal"/>
      <w:lvlText w:val="%1."/>
      <w:lvlJc w:val="left"/>
      <w:pPr>
        <w:ind w:left="720" w:hanging="360"/>
      </w:pPr>
    </w:lvl>
    <w:lvl w:ilvl="1" w:tplc="B7CED80C">
      <w:start w:val="1"/>
      <w:numFmt w:val="bullet"/>
      <w:lvlText w:val=""/>
      <w:lvlJc w:val="left"/>
      <w:pPr>
        <w:ind w:left="1440" w:hanging="360"/>
      </w:pPr>
      <w:rPr>
        <w:rFonts w:ascii="Symbol" w:hAnsi="Symbol" w:hint="default"/>
      </w:rPr>
    </w:lvl>
    <w:lvl w:ilvl="2" w:tplc="D16A6CCA">
      <w:start w:val="1"/>
      <w:numFmt w:val="lowerRoman"/>
      <w:lvlText w:val="%3."/>
      <w:lvlJc w:val="right"/>
      <w:pPr>
        <w:ind w:left="2160" w:hanging="180"/>
      </w:pPr>
    </w:lvl>
    <w:lvl w:ilvl="3" w:tplc="EE444900">
      <w:start w:val="1"/>
      <w:numFmt w:val="decimal"/>
      <w:lvlText w:val="%4."/>
      <w:lvlJc w:val="left"/>
      <w:pPr>
        <w:ind w:left="2880" w:hanging="360"/>
      </w:pPr>
    </w:lvl>
    <w:lvl w:ilvl="4" w:tplc="D7D82EB8">
      <w:start w:val="1"/>
      <w:numFmt w:val="lowerLetter"/>
      <w:lvlText w:val="%5."/>
      <w:lvlJc w:val="left"/>
      <w:pPr>
        <w:ind w:left="3600" w:hanging="360"/>
      </w:pPr>
    </w:lvl>
    <w:lvl w:ilvl="5" w:tplc="972CD89E">
      <w:start w:val="1"/>
      <w:numFmt w:val="lowerRoman"/>
      <w:lvlText w:val="%6."/>
      <w:lvlJc w:val="right"/>
      <w:pPr>
        <w:ind w:left="4320" w:hanging="180"/>
      </w:pPr>
    </w:lvl>
    <w:lvl w:ilvl="6" w:tplc="BA04BA3E">
      <w:start w:val="1"/>
      <w:numFmt w:val="decimal"/>
      <w:lvlText w:val="%7."/>
      <w:lvlJc w:val="left"/>
      <w:pPr>
        <w:ind w:left="5040" w:hanging="360"/>
      </w:pPr>
    </w:lvl>
    <w:lvl w:ilvl="7" w:tplc="74904778">
      <w:start w:val="1"/>
      <w:numFmt w:val="lowerLetter"/>
      <w:lvlText w:val="%8."/>
      <w:lvlJc w:val="left"/>
      <w:pPr>
        <w:ind w:left="5760" w:hanging="360"/>
      </w:pPr>
    </w:lvl>
    <w:lvl w:ilvl="8" w:tplc="1BF0127E">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1A"/>
    <w:rsid w:val="00025362"/>
    <w:rsid w:val="000A0A1F"/>
    <w:rsid w:val="007562A8"/>
    <w:rsid w:val="00DC531A"/>
    <w:rsid w:val="00E6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D3A4"/>
  <w15:chartTrackingRefBased/>
  <w15:docId w15:val="{D4D7B772-4AD4-4B66-8822-BE075B26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A8"/>
  </w:style>
  <w:style w:type="paragraph" w:styleId="Heading2">
    <w:name w:val="heading 2"/>
    <w:basedOn w:val="Normal"/>
    <w:link w:val="Heading2Char"/>
    <w:uiPriority w:val="9"/>
    <w:qFormat/>
    <w:rsid w:val="00DC531A"/>
    <w:pPr>
      <w:spacing w:before="200" w:after="100" w:line="240" w:lineRule="auto"/>
      <w:jc w:val="center"/>
      <w:outlineLvl w:val="1"/>
    </w:pPr>
    <w:rPr>
      <w:rFonts w:ascii="Times New Roman" w:eastAsia="Times New Roman" w:hAnsi="Times New Roman" w:cs="Times New Roman"/>
      <w:b/>
      <w:bCs/>
      <w:sz w:val="20"/>
      <w:szCs w:val="20"/>
    </w:rPr>
  </w:style>
  <w:style w:type="paragraph" w:styleId="Heading3">
    <w:name w:val="heading 3"/>
    <w:basedOn w:val="Normal"/>
    <w:next w:val="Normal"/>
    <w:link w:val="Heading3Char"/>
    <w:uiPriority w:val="9"/>
    <w:unhideWhenUsed/>
    <w:qFormat/>
    <w:rsid w:val="007562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31A"/>
    <w:rPr>
      <w:rFonts w:ascii="Times New Roman" w:eastAsia="Times New Roman" w:hAnsi="Times New Roman" w:cs="Times New Roman"/>
      <w:b/>
      <w:bCs/>
      <w:sz w:val="20"/>
      <w:szCs w:val="20"/>
    </w:rPr>
  </w:style>
  <w:style w:type="paragraph" w:styleId="Title">
    <w:name w:val="Title"/>
    <w:basedOn w:val="Normal"/>
    <w:link w:val="TitleChar"/>
    <w:uiPriority w:val="10"/>
    <w:qFormat/>
    <w:rsid w:val="00DC531A"/>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10"/>
    <w:rsid w:val="00DC531A"/>
    <w:rPr>
      <w:rFonts w:ascii="Times New Roman" w:eastAsia="Times New Roman" w:hAnsi="Times New Roman" w:cs="Times New Roman"/>
      <w:sz w:val="36"/>
      <w:szCs w:val="24"/>
    </w:rPr>
  </w:style>
  <w:style w:type="table" w:styleId="TableGrid">
    <w:name w:val="Table Grid"/>
    <w:basedOn w:val="TableNormal"/>
    <w:uiPriority w:val="59"/>
    <w:rsid w:val="00DC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562A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qFormat/>
    <w:rsid w:val="0075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CC549B-321F-4141-B321-97B232153BAC}"/>
</file>

<file path=customXml/itemProps2.xml><?xml version="1.0" encoding="utf-8"?>
<ds:datastoreItem xmlns:ds="http://schemas.openxmlformats.org/officeDocument/2006/customXml" ds:itemID="{D0481904-6D57-43BB-A102-353310A0D76C}"/>
</file>

<file path=customXml/itemProps3.xml><?xml version="1.0" encoding="utf-8"?>
<ds:datastoreItem xmlns:ds="http://schemas.openxmlformats.org/officeDocument/2006/customXml" ds:itemID="{8E3A4A9F-EA80-4268-8D7E-983C6198CE3A}"/>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2</cp:revision>
  <dcterms:created xsi:type="dcterms:W3CDTF">2020-09-17T13:44:00Z</dcterms:created>
  <dcterms:modified xsi:type="dcterms:W3CDTF">2020-09-17T13:44:00Z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