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4F7C" w14:textId="49EAFD48" w:rsidR="002D0790" w:rsidRDefault="003146D7" w:rsidP="00293C4A">
      <w:r>
        <w:rPr>
          <w:noProof/>
        </w:rPr>
        <mc:AlternateContent>
          <mc:Choice Requires="wps">
            <w:drawing>
              <wp:anchor distT="0" distB="0" distL="114300" distR="114300" simplePos="0" relativeHeight="251659264" behindDoc="0" locked="0" layoutInCell="1" allowOverlap="1" wp14:anchorId="57039696" wp14:editId="5F2E9DE6">
                <wp:simplePos x="0" y="0"/>
                <wp:positionH relativeFrom="column">
                  <wp:posOffset>5109519</wp:posOffset>
                </wp:positionH>
                <wp:positionV relativeFrom="paragraph">
                  <wp:posOffset>288838</wp:posOffset>
                </wp:positionV>
                <wp:extent cx="1210962" cy="345989"/>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210962" cy="345989"/>
                        </a:xfrm>
                        <a:prstGeom prst="rect">
                          <a:avLst/>
                        </a:prstGeom>
                        <a:solidFill>
                          <a:schemeClr val="lt1"/>
                        </a:solidFill>
                        <a:ln w="6350">
                          <a:noFill/>
                        </a:ln>
                      </wps:spPr>
                      <wps:txb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039696" id="_x0000_t202" coordsize="21600,21600" o:spt="202" path="m,l,21600r21600,l21600,xe">
                <v:stroke joinstyle="miter"/>
                <v:path gradientshapeok="t" o:connecttype="rect"/>
              </v:shapetype>
              <v:shape id="Text Box 1" o:spid="_x0000_s1026" type="#_x0000_t202" style="position:absolute;margin-left:402.3pt;margin-top:22.75pt;width:95.3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" fillcolor="white [3201]" stroked="f" strokeweight=".5pt">
                <v:textbo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v:textbox>
              </v:shape>
            </w:pict>
          </mc:Fallback>
        </mc:AlternateContent>
      </w:r>
      <w:r w:rsidR="00CA6E14">
        <w:rPr>
          <w:noProof/>
        </w:rPr>
        <w:drawing>
          <wp:anchor distT="0" distB="0" distL="114300" distR="114300" simplePos="0" relativeHeight="251658240" behindDoc="0" locked="0" layoutInCell="1" allowOverlap="1" wp14:anchorId="67EEB934" wp14:editId="1A6C65B6">
            <wp:simplePos x="0" y="0"/>
            <wp:positionH relativeFrom="column">
              <wp:posOffset>14269</wp:posOffset>
            </wp:positionH>
            <wp:positionV relativeFrom="paragraph">
              <wp:posOffset>-250003</wp:posOffset>
            </wp:positionV>
            <wp:extent cx="2478074" cy="895738"/>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074" cy="895738"/>
                    </a:xfrm>
                    <a:prstGeom prst="rect">
                      <a:avLst/>
                    </a:prstGeom>
                    <a:noFill/>
                  </pic:spPr>
                </pic:pic>
              </a:graphicData>
            </a:graphic>
            <wp14:sizeRelH relativeFrom="margin">
              <wp14:pctWidth>0</wp14:pctWidth>
            </wp14:sizeRelH>
            <wp14:sizeRelV relativeFrom="margin">
              <wp14:pctHeight>0</wp14:pctHeight>
            </wp14:sizeRelV>
          </wp:anchor>
        </w:drawing>
      </w:r>
    </w:p>
    <w:p w14:paraId="3E887BBB" w14:textId="2A9FFCBC" w:rsidR="0065451D" w:rsidRPr="0065451D" w:rsidRDefault="00CA6E14" w:rsidP="0060499A">
      <w:pPr>
        <w:rPr>
          <w:rFonts w:ascii="Helvetica LT Std Light" w:hAnsi="Helvetica LT Std Light"/>
          <w:b/>
          <w:sz w:val="32"/>
          <w:szCs w:val="32"/>
        </w:rPr>
      </w:pPr>
      <w:r>
        <w:br/>
      </w:r>
      <w:r w:rsidR="0065451D">
        <w:rPr>
          <w:b/>
          <w:sz w:val="28"/>
          <w:szCs w:val="28"/>
        </w:rPr>
        <w:br/>
      </w:r>
      <w:r w:rsidR="0060499A" w:rsidRPr="0060499A">
        <w:rPr>
          <w:rFonts w:ascii="Helvetica LT Std Light" w:hAnsi="Helvetica LT Std Light"/>
          <w:b/>
          <w:sz w:val="32"/>
          <w:szCs w:val="32"/>
        </w:rPr>
        <w:t>Food Donation Liability Protection</w:t>
      </w:r>
    </w:p>
    <w:p w14:paraId="2BD4059D" w14:textId="4C30D8AB" w:rsidR="0060499A" w:rsidRPr="0060499A" w:rsidRDefault="0060499A" w:rsidP="0060499A">
      <w:pPr>
        <w:spacing w:line="240" w:lineRule="auto"/>
        <w:rPr>
          <w:rFonts w:ascii="Helvetica LT Std Light" w:hAnsi="Helvetica LT Std Light" w:cstheme="minorHAnsi"/>
          <w:sz w:val="20"/>
          <w:szCs w:val="20"/>
        </w:rPr>
      </w:pPr>
      <w:r w:rsidRPr="0060499A">
        <w:rPr>
          <w:rFonts w:ascii="Helvetica LT Std Light" w:hAnsi="Helvetica LT Std Light" w:cstheme="minorHAnsi"/>
          <w:sz w:val="20"/>
          <w:szCs w:val="20"/>
        </w:rPr>
        <w:t xml:space="preserve">Schools may be hesitant to donate surplus food to a nonprofit organization for fear of liability issues.  Assuming absence of gross negligence, there are Federal and State laws that allow food to be donated without concern </w:t>
      </w:r>
      <w:r>
        <w:rPr>
          <w:rFonts w:ascii="Helvetica LT Std Light" w:hAnsi="Helvetica LT Std Light" w:cstheme="minorHAnsi"/>
          <w:sz w:val="20"/>
          <w:szCs w:val="20"/>
        </w:rPr>
        <w:br/>
      </w:r>
      <w:r w:rsidRPr="0060499A">
        <w:rPr>
          <w:rFonts w:ascii="Helvetica LT Std Light" w:hAnsi="Helvetica LT Std Light" w:cstheme="minorHAnsi"/>
          <w:sz w:val="20"/>
          <w:szCs w:val="20"/>
        </w:rPr>
        <w:t>of liability for unforeseen illness or injury related to the donated food.</w:t>
      </w:r>
    </w:p>
    <w:p w14:paraId="0935D6E8" w14:textId="4EC42A69" w:rsidR="0060499A" w:rsidRPr="0060499A" w:rsidRDefault="0060499A" w:rsidP="0060499A">
      <w:pPr>
        <w:spacing w:line="240" w:lineRule="auto"/>
        <w:rPr>
          <w:rFonts w:ascii="Helvetica LT Std Light" w:hAnsi="Helvetica LT Std Light" w:cstheme="minorHAnsi"/>
          <w:sz w:val="20"/>
          <w:szCs w:val="20"/>
        </w:rPr>
      </w:pPr>
      <w:r w:rsidRPr="0060499A">
        <w:rPr>
          <w:rFonts w:ascii="Helvetica LT Std Light" w:hAnsi="Helvetica LT Std Light" w:cstheme="minorHAnsi"/>
          <w:sz w:val="20"/>
          <w:szCs w:val="20"/>
        </w:rPr>
        <w:t>The Bill Emerson Good Samaritan Food Donation Act (“Good Samaritan Act”) is a federal law aimed at “encouraging the donation of food and grocery products to nonprofit organizations for distribution to needy individuals” by providing a national standard of liability protection for both food donors and the nonprofits accepting these donations (1).  In short, donors are protected from criminal and civil liability related to the donation of food unless there is gross negligence or intentional misconduct.</w:t>
      </w:r>
    </w:p>
    <w:p w14:paraId="7182299E" w14:textId="08F4FF60" w:rsidR="0060499A" w:rsidRPr="0060499A" w:rsidRDefault="0060499A" w:rsidP="0060499A">
      <w:pPr>
        <w:spacing w:line="240" w:lineRule="auto"/>
        <w:rPr>
          <w:rFonts w:ascii="Helvetica LT Std Light" w:hAnsi="Helvetica LT Std Light" w:cstheme="minorHAnsi"/>
          <w:sz w:val="20"/>
          <w:szCs w:val="20"/>
        </w:rPr>
      </w:pPr>
      <w:r w:rsidRPr="0060499A">
        <w:rPr>
          <w:rFonts w:ascii="Helvetica LT Std Light" w:hAnsi="Helvetica LT Std Light" w:cstheme="minorHAnsi"/>
          <w:sz w:val="20"/>
          <w:szCs w:val="20"/>
        </w:rPr>
        <w:t xml:space="preserve">Georgia Code Ann. § 51-1-31 is a State law that also protects donors from criminal penalty or civil damages arising from the condition of the food, unless an injury is caused by the recklessness or intentional misconduct </w:t>
      </w:r>
      <w:r>
        <w:rPr>
          <w:rFonts w:ascii="Helvetica LT Std Light" w:hAnsi="Helvetica LT Std Light" w:cstheme="minorHAnsi"/>
          <w:sz w:val="20"/>
          <w:szCs w:val="20"/>
        </w:rPr>
        <w:br/>
      </w:r>
      <w:r w:rsidRPr="0060499A">
        <w:rPr>
          <w:rFonts w:ascii="Helvetica LT Std Light" w:hAnsi="Helvetica LT Std Light" w:cstheme="minorHAnsi"/>
          <w:sz w:val="20"/>
          <w:szCs w:val="20"/>
        </w:rPr>
        <w:t xml:space="preserve">of the donor (2).  Therefore, a good faith donor (in this case, a school) is not liable for illness or injury caused by canned or perishable foods that are apparently fit for human consumption and have been donated to a nonprofit organization for use or distribution.   </w:t>
      </w:r>
    </w:p>
    <w:p w14:paraId="29837A1A" w14:textId="77777777" w:rsidR="0060499A" w:rsidRPr="0060499A" w:rsidRDefault="0060499A" w:rsidP="0060499A">
      <w:pPr>
        <w:spacing w:line="240" w:lineRule="auto"/>
        <w:rPr>
          <w:rFonts w:ascii="Helvetica LT Std Light" w:hAnsi="Helvetica LT Std Light" w:cstheme="minorHAnsi"/>
          <w:sz w:val="20"/>
          <w:szCs w:val="20"/>
        </w:rPr>
      </w:pPr>
      <w:r w:rsidRPr="0060499A">
        <w:rPr>
          <w:rFonts w:ascii="Helvetica LT Std Light" w:hAnsi="Helvetica LT Std Light" w:cstheme="minorHAnsi"/>
          <w:sz w:val="20"/>
          <w:szCs w:val="20"/>
        </w:rPr>
        <w:t>Lastly, the Consolidated and Further Continuing Appropriations Act, 2012 (P.L. 112-55) amended the Richard B. Russell National School Lunch Act (NSLA) by adding the Food Donation Program.  The statute clarifies that any program food not consumed may be donated to eligible local food banks or charitable organizations.  In this context, the terms “eligible local food banks or charitable organizations” means any food bank or charitable organization which is exempt from tax under section 501(c)(3) of the Internal Revenue Code (3).</w:t>
      </w:r>
    </w:p>
    <w:p w14:paraId="33EFF9E8" w14:textId="0E9E052A" w:rsidR="0060499A" w:rsidRPr="0060499A" w:rsidRDefault="0060499A" w:rsidP="0060499A">
      <w:pPr>
        <w:spacing w:line="240" w:lineRule="auto"/>
        <w:rPr>
          <w:rFonts w:ascii="Helvetica LT Std Light" w:hAnsi="Helvetica LT Std Light" w:cstheme="minorHAnsi"/>
          <w:sz w:val="22"/>
          <w:szCs w:val="22"/>
        </w:rPr>
      </w:pPr>
      <w:r w:rsidRPr="0060499A">
        <w:rPr>
          <w:rFonts w:ascii="Helvetica LT Std Light" w:hAnsi="Helvetica LT Std Light" w:cstheme="minorHAnsi"/>
          <w:sz w:val="20"/>
          <w:szCs w:val="20"/>
        </w:rPr>
        <w:t xml:space="preserve">Of course, even though food donors are legally protected from liability, strict food safety practices must be </w:t>
      </w:r>
      <w:r w:rsidR="003D6D48" w:rsidRPr="0060499A">
        <w:rPr>
          <w:rFonts w:ascii="Helvetica LT Std Light" w:hAnsi="Helvetica LT Std Light" w:cstheme="minorHAnsi"/>
          <w:sz w:val="20"/>
          <w:szCs w:val="20"/>
        </w:rPr>
        <w:t>enforced,</w:t>
      </w:r>
      <w:r w:rsidRPr="0060499A">
        <w:rPr>
          <w:rFonts w:ascii="Helvetica LT Std Light" w:hAnsi="Helvetica LT Std Light" w:cstheme="minorHAnsi"/>
          <w:sz w:val="20"/>
          <w:szCs w:val="20"/>
        </w:rPr>
        <w:t xml:space="preserve"> and due diligence executed before entering into an agreement with an organization that accepts </w:t>
      </w:r>
      <w:r>
        <w:rPr>
          <w:rFonts w:ascii="Helvetica LT Std Light" w:hAnsi="Helvetica LT Std Light" w:cstheme="minorHAnsi"/>
          <w:sz w:val="20"/>
          <w:szCs w:val="20"/>
        </w:rPr>
        <w:br/>
      </w:r>
      <w:r w:rsidRPr="0060499A">
        <w:rPr>
          <w:rFonts w:ascii="Helvetica LT Std Light" w:hAnsi="Helvetica LT Std Light" w:cstheme="minorHAnsi"/>
          <w:sz w:val="20"/>
          <w:szCs w:val="20"/>
        </w:rPr>
        <w:t>food donations.</w:t>
      </w:r>
      <w:r w:rsidRPr="0060499A">
        <w:rPr>
          <w:rFonts w:ascii="Helvetica LT Std Light" w:hAnsi="Helvetica LT Std Light" w:cstheme="minorHAnsi"/>
          <w:sz w:val="22"/>
          <w:szCs w:val="22"/>
        </w:rPr>
        <w:t xml:space="preserve">   </w:t>
      </w:r>
    </w:p>
    <w:p w14:paraId="416A5405" w14:textId="7FCB087B" w:rsidR="0060499A" w:rsidRPr="0060499A" w:rsidRDefault="0060499A" w:rsidP="0060499A">
      <w:pPr>
        <w:spacing w:line="240" w:lineRule="auto"/>
        <w:rPr>
          <w:rFonts w:ascii="Helvetica LT Std Light" w:hAnsi="Helvetica LT Std Light" w:cstheme="minorHAnsi"/>
          <w:sz w:val="20"/>
          <w:szCs w:val="20"/>
        </w:rPr>
      </w:pPr>
      <w:r w:rsidRPr="0060499A">
        <w:rPr>
          <w:rFonts w:ascii="Helvetica LT Std Light" w:hAnsi="Helvetica LT Std Light" w:cstheme="minorHAnsi"/>
          <w:b/>
          <w:sz w:val="20"/>
          <w:szCs w:val="20"/>
        </w:rPr>
        <w:t>References</w:t>
      </w:r>
    </w:p>
    <w:p w14:paraId="24FA6B2E" w14:textId="5C6DF964" w:rsidR="0060499A" w:rsidRPr="005D039F" w:rsidRDefault="0060499A" w:rsidP="0060499A">
      <w:pPr>
        <w:pStyle w:val="ListParagraph"/>
        <w:numPr>
          <w:ilvl w:val="0"/>
          <w:numId w:val="6"/>
        </w:numPr>
        <w:spacing w:line="240" w:lineRule="auto"/>
        <w:rPr>
          <w:rFonts w:ascii="Helvetica LT Std Light" w:hAnsi="Helvetica LT Std Light" w:cstheme="minorHAnsi"/>
          <w:sz w:val="20"/>
          <w:szCs w:val="20"/>
        </w:rPr>
      </w:pPr>
      <w:r w:rsidRPr="005D039F">
        <w:rPr>
          <w:rFonts w:ascii="Helvetica LT Std Light" w:hAnsi="Helvetica LT Std Light" w:cstheme="minorHAnsi"/>
          <w:sz w:val="20"/>
          <w:szCs w:val="20"/>
        </w:rPr>
        <w:t>Cornell Law School, Legal Information Institute. 42 U.S. Code §</w:t>
      </w:r>
      <w:r w:rsidRPr="005D039F">
        <w:rPr>
          <w:rFonts w:ascii="Arial" w:hAnsi="Arial" w:cs="Arial"/>
          <w:sz w:val="20"/>
          <w:szCs w:val="20"/>
        </w:rPr>
        <w:t> </w:t>
      </w:r>
      <w:r w:rsidRPr="005D039F">
        <w:rPr>
          <w:rFonts w:ascii="Helvetica LT Std Light" w:hAnsi="Helvetica LT Std Light" w:cstheme="minorHAnsi"/>
          <w:sz w:val="20"/>
          <w:szCs w:val="20"/>
        </w:rPr>
        <w:t xml:space="preserve">1791. Bill Emerson Good Samaritan Food Donation Act.  Available at: </w:t>
      </w:r>
      <w:hyperlink r:id="rId12" w:history="1">
        <w:r w:rsidR="003D6D48" w:rsidRPr="005D039F">
          <w:rPr>
            <w:rStyle w:val="Hyperlink"/>
            <w:rFonts w:ascii="Helvetica LT Std Light" w:hAnsi="Helvetica LT Std Light" w:cstheme="minorHAnsi"/>
            <w:sz w:val="20"/>
            <w:szCs w:val="20"/>
          </w:rPr>
          <w:t>https://www.law.cornell.edu/uscode/text/42/1791</w:t>
        </w:r>
      </w:hyperlink>
      <w:r w:rsidR="003D6D48" w:rsidRPr="005D039F">
        <w:rPr>
          <w:rFonts w:ascii="Helvetica LT Std Light" w:hAnsi="Helvetica LT Std Light" w:cstheme="minorHAnsi"/>
          <w:sz w:val="20"/>
          <w:szCs w:val="20"/>
        </w:rPr>
        <w:t xml:space="preserve">. </w:t>
      </w:r>
      <w:r w:rsidRPr="005D039F">
        <w:rPr>
          <w:rFonts w:ascii="Helvetica LT Std Light" w:hAnsi="Helvetica LT Std Light" w:cstheme="minorHAnsi"/>
          <w:sz w:val="20"/>
          <w:szCs w:val="20"/>
        </w:rPr>
        <w:t xml:space="preserve">Accessed May 10, 2019.  </w:t>
      </w:r>
    </w:p>
    <w:p w14:paraId="2FE04F2C" w14:textId="225AA8B0" w:rsidR="0060499A" w:rsidRPr="005D039F" w:rsidRDefault="0060499A" w:rsidP="0060499A">
      <w:pPr>
        <w:pStyle w:val="ListParagraph"/>
        <w:numPr>
          <w:ilvl w:val="0"/>
          <w:numId w:val="6"/>
        </w:numPr>
        <w:spacing w:line="240" w:lineRule="auto"/>
        <w:rPr>
          <w:rFonts w:ascii="Helvetica LT Std Light" w:hAnsi="Helvetica LT Std Light" w:cstheme="minorHAnsi"/>
          <w:sz w:val="20"/>
          <w:szCs w:val="20"/>
        </w:rPr>
      </w:pPr>
      <w:r w:rsidRPr="005D039F">
        <w:rPr>
          <w:rFonts w:ascii="Helvetica LT Std Light" w:hAnsi="Helvetica LT Std Light" w:cstheme="minorHAnsi"/>
          <w:sz w:val="20"/>
          <w:szCs w:val="20"/>
        </w:rPr>
        <w:t>Georgia General Assembly.  O.C.G.A. § 51-1-</w:t>
      </w:r>
      <w:proofErr w:type="gramStart"/>
      <w:r w:rsidRPr="005D039F">
        <w:rPr>
          <w:rFonts w:ascii="Helvetica LT Std Light" w:hAnsi="Helvetica LT Std Light" w:cstheme="minorHAnsi"/>
          <w:sz w:val="20"/>
          <w:szCs w:val="20"/>
        </w:rPr>
        <w:t>31  Accessed</w:t>
      </w:r>
      <w:proofErr w:type="gramEnd"/>
      <w:r w:rsidRPr="005D039F">
        <w:rPr>
          <w:rFonts w:ascii="Helvetica LT Std Light" w:hAnsi="Helvetica LT Std Light" w:cstheme="minorHAnsi"/>
          <w:sz w:val="20"/>
          <w:szCs w:val="20"/>
        </w:rPr>
        <w:t xml:space="preserve"> May 10, 2019.USDA. Memo Code </w:t>
      </w:r>
      <w:r w:rsidRPr="005D039F">
        <w:rPr>
          <w:rFonts w:ascii="Helvetica LT Std Light" w:hAnsi="Helvetica LT Std Light" w:cstheme="minorHAnsi"/>
          <w:sz w:val="20"/>
          <w:szCs w:val="20"/>
        </w:rPr>
        <w:br/>
        <w:t xml:space="preserve">SP 11-2012, CACFP 05-2012, SFSP 07-2012 Guidance on the Food Donation Program in Child </w:t>
      </w:r>
      <w:r w:rsidRPr="005D039F">
        <w:rPr>
          <w:rFonts w:ascii="Helvetica LT Std Light" w:hAnsi="Helvetica LT Std Light" w:cstheme="minorHAnsi"/>
          <w:sz w:val="20"/>
          <w:szCs w:val="20"/>
        </w:rPr>
        <w:br/>
        <w:t>Nutrition Programs. Available at: https://www.usda.gov/oce/foodwaste/FNS_Guidance.pdf</w:t>
      </w:r>
      <w:r w:rsidR="003D6D48" w:rsidRPr="005D039F">
        <w:rPr>
          <w:rFonts w:ascii="Helvetica LT Std Light" w:hAnsi="Helvetica LT Std Light" w:cstheme="minorHAnsi"/>
          <w:sz w:val="20"/>
          <w:szCs w:val="20"/>
        </w:rPr>
        <w:t>.</w:t>
      </w:r>
      <w:r w:rsidRPr="005D039F">
        <w:rPr>
          <w:rFonts w:ascii="Helvetica LT Std Light" w:hAnsi="Helvetica LT Std Light" w:cstheme="minorHAnsi"/>
          <w:sz w:val="20"/>
          <w:szCs w:val="20"/>
        </w:rPr>
        <w:t xml:space="preserve"> Accessed May 10, 2019.</w:t>
      </w:r>
    </w:p>
    <w:p w14:paraId="4B4A06C7" w14:textId="77777777" w:rsidR="0060499A" w:rsidRPr="005D039F" w:rsidRDefault="0060499A" w:rsidP="0060499A">
      <w:pPr>
        <w:spacing w:line="240" w:lineRule="auto"/>
        <w:rPr>
          <w:rFonts w:ascii="Helvetica LT Std Light" w:hAnsi="Helvetica LT Std Light" w:cstheme="minorHAnsi"/>
          <w:b/>
          <w:sz w:val="20"/>
          <w:szCs w:val="20"/>
        </w:rPr>
      </w:pPr>
      <w:r w:rsidRPr="005D039F">
        <w:rPr>
          <w:rFonts w:ascii="Helvetica LT Std Light" w:hAnsi="Helvetica LT Std Light" w:cstheme="minorHAnsi"/>
          <w:b/>
          <w:sz w:val="20"/>
          <w:szCs w:val="20"/>
        </w:rPr>
        <w:t>Additional Resources</w:t>
      </w:r>
    </w:p>
    <w:p w14:paraId="71F2D82E" w14:textId="77777777" w:rsidR="0060499A" w:rsidRPr="005D039F" w:rsidRDefault="0060499A" w:rsidP="0060499A">
      <w:pPr>
        <w:pStyle w:val="ListParagraph"/>
        <w:numPr>
          <w:ilvl w:val="0"/>
          <w:numId w:val="7"/>
        </w:numPr>
        <w:spacing w:line="240" w:lineRule="auto"/>
        <w:rPr>
          <w:rFonts w:ascii="Helvetica LT Std Light" w:hAnsi="Helvetica LT Std Light" w:cstheme="minorHAnsi"/>
          <w:sz w:val="20"/>
          <w:szCs w:val="20"/>
        </w:rPr>
      </w:pPr>
      <w:r w:rsidRPr="005D039F">
        <w:rPr>
          <w:rFonts w:ascii="Helvetica LT Std Light" w:hAnsi="Helvetica LT Std Light" w:cstheme="minorHAnsi"/>
          <w:sz w:val="20"/>
          <w:szCs w:val="20"/>
        </w:rPr>
        <w:t xml:space="preserve">Center for Agriculture and Food Systems.  National Gleaning Project.  Legal and Policy Resources.  Available at: </w:t>
      </w:r>
      <w:proofErr w:type="gramStart"/>
      <w:r w:rsidRPr="005D039F">
        <w:rPr>
          <w:rFonts w:ascii="Helvetica LT Std Light" w:hAnsi="Helvetica LT Std Light" w:cstheme="minorHAnsi"/>
          <w:sz w:val="20"/>
          <w:szCs w:val="20"/>
        </w:rPr>
        <w:t>https://nationalgleaningproject.org/  Accessed</w:t>
      </w:r>
      <w:proofErr w:type="gramEnd"/>
      <w:r w:rsidRPr="005D039F">
        <w:rPr>
          <w:rFonts w:ascii="Helvetica LT Std Light" w:hAnsi="Helvetica LT Std Light" w:cstheme="minorHAnsi"/>
          <w:sz w:val="20"/>
          <w:szCs w:val="20"/>
        </w:rPr>
        <w:t xml:space="preserve"> May 10, 2019.  </w:t>
      </w:r>
    </w:p>
    <w:p w14:paraId="0C5C5F64" w14:textId="77777777" w:rsidR="0060499A" w:rsidRPr="005D039F" w:rsidRDefault="0060499A" w:rsidP="0060499A">
      <w:pPr>
        <w:pStyle w:val="ListParagraph"/>
        <w:numPr>
          <w:ilvl w:val="0"/>
          <w:numId w:val="7"/>
        </w:numPr>
        <w:spacing w:line="240" w:lineRule="auto"/>
        <w:rPr>
          <w:rFonts w:ascii="Helvetica LT Std Light" w:hAnsi="Helvetica LT Std Light" w:cstheme="minorHAnsi"/>
          <w:sz w:val="20"/>
          <w:szCs w:val="20"/>
        </w:rPr>
      </w:pPr>
      <w:r w:rsidRPr="005D039F">
        <w:rPr>
          <w:rFonts w:ascii="Helvetica LT Std Light" w:hAnsi="Helvetica LT Std Light" w:cstheme="minorHAnsi"/>
          <w:sz w:val="20"/>
          <w:szCs w:val="20"/>
        </w:rPr>
        <w:t xml:space="preserve">Food Law and Policy Clinic, Harvard Law School.  Food Safety Regulations &amp; Guidance for Food Donations: A Fifty-State Survey of State Practices March 2018.  Available at: </w:t>
      </w:r>
      <w:proofErr w:type="gramStart"/>
      <w:r w:rsidRPr="005D039F">
        <w:rPr>
          <w:rFonts w:ascii="Helvetica LT Std Light" w:hAnsi="Helvetica LT Std Light" w:cstheme="minorHAnsi"/>
          <w:sz w:val="20"/>
          <w:szCs w:val="20"/>
        </w:rPr>
        <w:t>https://www.chlpi.org/wp-content/uploads/2013/12/50-State-Food-Regs_March-2018_V2.pdf  Accessed</w:t>
      </w:r>
      <w:proofErr w:type="gramEnd"/>
      <w:r w:rsidRPr="005D039F">
        <w:rPr>
          <w:rFonts w:ascii="Helvetica LT Std Light" w:hAnsi="Helvetica LT Std Light" w:cstheme="minorHAnsi"/>
          <w:sz w:val="20"/>
          <w:szCs w:val="20"/>
        </w:rPr>
        <w:t xml:space="preserve"> May 10, 2019  </w:t>
      </w:r>
    </w:p>
    <w:p w14:paraId="25E67F7B" w14:textId="2C0EF788" w:rsidR="00CA6E14" w:rsidRPr="005D039F" w:rsidRDefault="00CA6E14" w:rsidP="001C3534">
      <w:pPr>
        <w:spacing w:line="240" w:lineRule="auto"/>
        <w:rPr>
          <w:rFonts w:ascii="Helvetica LT Std Light" w:hAnsi="Helvetica LT Std Light" w:cstheme="minorHAnsi"/>
          <w:color w:val="000000"/>
          <w:sz w:val="20"/>
          <w:szCs w:val="20"/>
          <w:u w:val="single"/>
        </w:rPr>
      </w:pPr>
    </w:p>
    <w:sectPr w:rsidR="00CA6E14" w:rsidRPr="005D039F" w:rsidSect="00CA6E14">
      <w:headerReference w:type="default" r:id="rId13"/>
      <w:footerReference w:type="default" r:id="rId14"/>
      <w:headerReference w:type="first" r:id="rId15"/>
      <w:footerReference w:type="first" r:id="rId16"/>
      <w:pgSz w:w="12240" w:h="15840" w:code="1"/>
      <w:pgMar w:top="810" w:right="1080" w:bottom="1350" w:left="1080" w:header="450" w:footer="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348BF" w14:textId="77777777" w:rsidR="0023751F" w:rsidRDefault="0023751F">
      <w:pPr>
        <w:spacing w:after="0" w:line="240" w:lineRule="auto"/>
      </w:pPr>
      <w:r>
        <w:separator/>
      </w:r>
    </w:p>
    <w:p w14:paraId="315ABAED" w14:textId="77777777" w:rsidR="0023751F" w:rsidRDefault="0023751F"/>
  </w:endnote>
  <w:endnote w:type="continuationSeparator" w:id="0">
    <w:p w14:paraId="2BA2D5E9" w14:textId="77777777" w:rsidR="0023751F" w:rsidRDefault="0023751F">
      <w:pPr>
        <w:spacing w:after="0" w:line="240" w:lineRule="auto"/>
      </w:pPr>
      <w:r>
        <w:continuationSeparator/>
      </w:r>
    </w:p>
    <w:p w14:paraId="20F52749" w14:textId="77777777" w:rsidR="0023751F" w:rsidRDefault="00237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Helvetica LT Std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858203"/>
      <w:docPartObj>
        <w:docPartGallery w:val="Page Numbers (Bottom of Page)"/>
        <w:docPartUnique/>
      </w:docPartObj>
    </w:sdtPr>
    <w:sdtEndPr>
      <w:rPr>
        <w:noProof/>
      </w:rPr>
    </w:sdtEndPr>
    <w:sdtContent>
      <w:p w14:paraId="22BCFD19"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474680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4E54" w14:textId="2093EB18" w:rsidR="00CA6E14" w:rsidRDefault="00CA6E14" w:rsidP="0065451D">
    <w:pPr>
      <w:pStyle w:val="Footer"/>
      <w:jc w:val="left"/>
    </w:pPr>
    <w:r>
      <w:rPr>
        <w:noProof/>
      </w:rPr>
      <w:drawing>
        <wp:anchor distT="0" distB="0" distL="114300" distR="114300" simplePos="0" relativeHeight="251685888" behindDoc="0" locked="0" layoutInCell="1" allowOverlap="1" wp14:anchorId="16414988" wp14:editId="588D010D">
          <wp:simplePos x="0" y="0"/>
          <wp:positionH relativeFrom="column">
            <wp:posOffset>-4791628</wp:posOffset>
          </wp:positionH>
          <wp:positionV relativeFrom="paragraph">
            <wp:posOffset>-4071538</wp:posOffset>
          </wp:positionV>
          <wp:extent cx="9223053" cy="268442"/>
          <wp:effectExtent l="635"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9343758" cy="271955"/>
                  </a:xfrm>
                  <a:prstGeom prst="rect">
                    <a:avLst/>
                  </a:prstGeom>
                  <a:noFill/>
                </pic:spPr>
              </pic:pic>
            </a:graphicData>
          </a:graphic>
          <wp14:sizeRelH relativeFrom="margin">
            <wp14:pctWidth>0</wp14:pctWidth>
          </wp14:sizeRelH>
          <wp14:sizeRelV relativeFrom="margin">
            <wp14:pctHeight>0</wp14:pctHeight>
          </wp14:sizeRelV>
        </wp:anchor>
      </w:drawing>
    </w:r>
  </w:p>
  <w:p w14:paraId="6A3CBAB2" w14:textId="5B037D07" w:rsidR="002D0790" w:rsidRPr="0065451D" w:rsidRDefault="00CA6E14" w:rsidP="002D0790">
    <w:pPr>
      <w:pStyle w:val="Footer"/>
      <w:rPr>
        <w:rFonts w:ascii="Helvetica LT Std" w:hAnsi="Helvetica LT Std"/>
        <w:sz w:val="20"/>
        <w:szCs w:val="20"/>
      </w:rPr>
    </w:pPr>
    <w:r w:rsidRPr="0065451D">
      <w:rPr>
        <w:rFonts w:ascii="Helvetica LT Std" w:hAnsi="Helvetica LT Std"/>
        <w:sz w:val="20"/>
        <w:szCs w:val="20"/>
      </w:rPr>
      <w:t>GEORGIA DEPARTMENT OF EDUCATION SCHOOL NUTRITION PROGRAM</w:t>
    </w:r>
    <w:r w:rsidRPr="0065451D">
      <w:rPr>
        <w:rFonts w:ascii="Helvetica LT Std" w:hAnsi="Helvetica LT Std"/>
        <w:sz w:val="20"/>
        <w:szCs w:val="20"/>
      </w:rPr>
      <w:br/>
      <w:t>1570 TWIN TOWERS EAST   |   205 JESSE HILL JR DRIVE SE   |   ATLANTA GA 30334</w:t>
    </w:r>
    <w:r w:rsidRPr="0065451D">
      <w:rPr>
        <w:rFonts w:ascii="Helvetica LT Std" w:hAnsi="Helvetica LT Std"/>
        <w:sz w:val="20"/>
        <w:szCs w:val="20"/>
      </w:rPr>
      <w:br/>
      <w:t>This institution is an equal opportunity provider.</w:t>
    </w:r>
  </w:p>
  <w:p w14:paraId="36D33D4B" w14:textId="0643BFFA" w:rsidR="00756B5A" w:rsidRDefault="00756B5A" w:rsidP="00CA6E14">
    <w:pPr>
      <w:pStyle w:val="Footer"/>
      <w:jc w:val="left"/>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C1E1D" w14:textId="77777777" w:rsidR="0023751F" w:rsidRDefault="0023751F">
      <w:pPr>
        <w:spacing w:after="0" w:line="240" w:lineRule="auto"/>
      </w:pPr>
      <w:r>
        <w:separator/>
      </w:r>
    </w:p>
    <w:p w14:paraId="2EBBF469" w14:textId="77777777" w:rsidR="0023751F" w:rsidRDefault="0023751F"/>
  </w:footnote>
  <w:footnote w:type="continuationSeparator" w:id="0">
    <w:p w14:paraId="311C103C" w14:textId="77777777" w:rsidR="0023751F" w:rsidRDefault="0023751F">
      <w:pPr>
        <w:spacing w:after="0" w:line="240" w:lineRule="auto"/>
      </w:pPr>
      <w:r>
        <w:continuationSeparator/>
      </w:r>
    </w:p>
    <w:p w14:paraId="1CA79069" w14:textId="77777777" w:rsidR="0023751F" w:rsidRDefault="00237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2FBBB437" w14:textId="77777777">
      <w:trPr>
        <w:trHeight w:val="576"/>
      </w:trPr>
      <w:tc>
        <w:tcPr>
          <w:tcW w:w="7920" w:type="dxa"/>
        </w:tcPr>
        <w:p w14:paraId="689ED0C3" w14:textId="77777777" w:rsidR="00756B5A" w:rsidRDefault="00756B5A">
          <w:pPr>
            <w:pStyle w:val="Header"/>
          </w:pPr>
        </w:p>
      </w:tc>
    </w:tr>
  </w:tbl>
  <w:p w14:paraId="4EFD609F" w14:textId="77777777" w:rsidR="00756B5A" w:rsidRDefault="00756B5A">
    <w:pPr>
      <w:pStyle w:val="Header"/>
    </w:pPr>
  </w:p>
  <w:p w14:paraId="697087E7"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47AF" w14:textId="3AFC2AA4" w:rsidR="00756B5A" w:rsidRDefault="00CA6E1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CB7"/>
    <w:multiLevelType w:val="hybridMultilevel"/>
    <w:tmpl w:val="D1F8CABE"/>
    <w:lvl w:ilvl="0" w:tplc="43BCF882">
      <w:numFmt w:val="bullet"/>
      <w:lvlText w:val="•"/>
      <w:lvlJc w:val="left"/>
      <w:pPr>
        <w:ind w:left="720" w:hanging="360"/>
      </w:pPr>
      <w:rPr>
        <w:rFonts w:ascii="Myriad Pro" w:eastAsiaTheme="minorHAnsi" w:hAnsi="Myriad Pro" w:cs="Myriad Pro"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3D31"/>
    <w:multiLevelType w:val="hybridMultilevel"/>
    <w:tmpl w:val="9886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BBC"/>
    <w:multiLevelType w:val="hybridMultilevel"/>
    <w:tmpl w:val="F1B8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E77DD"/>
    <w:multiLevelType w:val="hybridMultilevel"/>
    <w:tmpl w:val="335A67EA"/>
    <w:lvl w:ilvl="0" w:tplc="43BCF882">
      <w:numFmt w:val="bullet"/>
      <w:lvlText w:val="•"/>
      <w:lvlJc w:val="left"/>
      <w:pPr>
        <w:ind w:left="720" w:hanging="360"/>
      </w:pPr>
      <w:rPr>
        <w:rFonts w:ascii="Myriad Pro" w:eastAsiaTheme="minorHAnsi" w:hAnsi="Myriad Pro" w:cs="Myriad Pro" w:hint="default"/>
      </w:rPr>
    </w:lvl>
    <w:lvl w:ilvl="1" w:tplc="43BCF882">
      <w:numFmt w:val="bullet"/>
      <w:lvlText w:val="•"/>
      <w:lvlJc w:val="left"/>
      <w:pPr>
        <w:ind w:left="1440" w:hanging="360"/>
      </w:pPr>
      <w:rPr>
        <w:rFonts w:ascii="Myriad Pro" w:eastAsiaTheme="minorHAnsi" w:hAnsi="Myriad Pro"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06C2"/>
    <w:multiLevelType w:val="hybridMultilevel"/>
    <w:tmpl w:val="CDBA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6353F"/>
    <w:multiLevelType w:val="hybridMultilevel"/>
    <w:tmpl w:val="F53A5EDE"/>
    <w:lvl w:ilvl="0" w:tplc="43BCF882">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E53D9"/>
    <w:multiLevelType w:val="hybridMultilevel"/>
    <w:tmpl w:val="C9542B26"/>
    <w:lvl w:ilvl="0" w:tplc="43BCF882">
      <w:numFmt w:val="bullet"/>
      <w:lvlText w:val="•"/>
      <w:lvlJc w:val="left"/>
      <w:pPr>
        <w:ind w:left="720" w:hanging="360"/>
      </w:pPr>
      <w:rPr>
        <w:rFonts w:ascii="Myriad Pro" w:eastAsiaTheme="minorHAnsi" w:hAnsi="Myriad Pro"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02"/>
    <w:rsid w:val="00187D0C"/>
    <w:rsid w:val="001C0051"/>
    <w:rsid w:val="001C3534"/>
    <w:rsid w:val="00201C80"/>
    <w:rsid w:val="00220381"/>
    <w:rsid w:val="00232314"/>
    <w:rsid w:val="002356F5"/>
    <w:rsid w:val="0023751F"/>
    <w:rsid w:val="00265373"/>
    <w:rsid w:val="00273824"/>
    <w:rsid w:val="0028290B"/>
    <w:rsid w:val="00293C4A"/>
    <w:rsid w:val="002D0790"/>
    <w:rsid w:val="002E6ABA"/>
    <w:rsid w:val="003146D7"/>
    <w:rsid w:val="003B6F05"/>
    <w:rsid w:val="003C0FA4"/>
    <w:rsid w:val="003D6D48"/>
    <w:rsid w:val="00470D02"/>
    <w:rsid w:val="004879D0"/>
    <w:rsid w:val="004E230C"/>
    <w:rsid w:val="005B0584"/>
    <w:rsid w:val="005D039F"/>
    <w:rsid w:val="0060499A"/>
    <w:rsid w:val="0065451D"/>
    <w:rsid w:val="006825A3"/>
    <w:rsid w:val="00756B5A"/>
    <w:rsid w:val="007C78B0"/>
    <w:rsid w:val="008678F9"/>
    <w:rsid w:val="00873E1D"/>
    <w:rsid w:val="00940FE2"/>
    <w:rsid w:val="00941CFB"/>
    <w:rsid w:val="00973DD1"/>
    <w:rsid w:val="00982BCC"/>
    <w:rsid w:val="00A2707E"/>
    <w:rsid w:val="00A82F39"/>
    <w:rsid w:val="00AB52C3"/>
    <w:rsid w:val="00B21054"/>
    <w:rsid w:val="00B22E80"/>
    <w:rsid w:val="00B4626C"/>
    <w:rsid w:val="00C701E9"/>
    <w:rsid w:val="00C7085C"/>
    <w:rsid w:val="00CA6E14"/>
    <w:rsid w:val="00CA7195"/>
    <w:rsid w:val="00DC6079"/>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6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 w:type="paragraph" w:styleId="BalloonText">
    <w:name w:val="Balloon Text"/>
    <w:basedOn w:val="Normal"/>
    <w:link w:val="BalloonTextChar"/>
    <w:uiPriority w:val="99"/>
    <w:semiHidden/>
    <w:unhideWhenUsed/>
    <w:rsid w:val="0047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2"/>
    <w:rPr>
      <w:rFonts w:ascii="Segoe UI" w:hAnsi="Segoe UI" w:cs="Segoe UI"/>
      <w:sz w:val="18"/>
      <w:szCs w:val="18"/>
    </w:rPr>
  </w:style>
  <w:style w:type="paragraph" w:customStyle="1" w:styleId="Pa1">
    <w:name w:val="Pa1"/>
    <w:basedOn w:val="Normal"/>
    <w:next w:val="Normal"/>
    <w:uiPriority w:val="99"/>
    <w:rsid w:val="0065451D"/>
    <w:pPr>
      <w:autoSpaceDE w:val="0"/>
      <w:autoSpaceDN w:val="0"/>
      <w:adjustRightInd w:val="0"/>
      <w:spacing w:after="0" w:line="241" w:lineRule="atLeast"/>
    </w:pPr>
    <w:rPr>
      <w:rFonts w:ascii="Myriad Pro" w:eastAsiaTheme="minorHAnsi" w:hAnsi="Myriad Pro"/>
      <w:lang w:eastAsia="en-US"/>
    </w:rPr>
  </w:style>
  <w:style w:type="character" w:customStyle="1" w:styleId="A1">
    <w:name w:val="A1"/>
    <w:uiPriority w:val="99"/>
    <w:rsid w:val="0065451D"/>
    <w:rPr>
      <w:rFonts w:cs="Myriad Pro"/>
      <w:color w:val="221E1F"/>
      <w:sz w:val="22"/>
      <w:szCs w:val="22"/>
    </w:rPr>
  </w:style>
  <w:style w:type="paragraph" w:styleId="ListParagraph">
    <w:name w:val="List Paragraph"/>
    <w:basedOn w:val="Normal"/>
    <w:uiPriority w:val="34"/>
    <w:qFormat/>
    <w:rsid w:val="0065451D"/>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65451D"/>
    <w:rPr>
      <w:color w:val="0066FF" w:themeColor="hyperlink"/>
      <w:u w:val="single"/>
    </w:rPr>
  </w:style>
  <w:style w:type="character" w:styleId="UnresolvedMention">
    <w:name w:val="Unresolved Mention"/>
    <w:basedOn w:val="DefaultParagraphFont"/>
    <w:uiPriority w:val="99"/>
    <w:semiHidden/>
    <w:unhideWhenUsed/>
    <w:rsid w:val="003D6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uscode/text/42/17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ennett\AppData\Roaming\Microsoft\Templates\Logo%20memo.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CAFAE-6186-4B47-AD76-DBC480C6C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4.xml><?xml version="1.0" encoding="utf-8"?>
<ds:datastoreItem xmlns:ds="http://schemas.openxmlformats.org/officeDocument/2006/customXml" ds:itemID="{B8E0371C-FCA3-49E2-87DB-5579F00E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memo</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2019-05-14T15:29:00Z</dcterms:created>
  <dcterms:modified xsi:type="dcterms:W3CDTF">2020-10-26T17:15:00Z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