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82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75593" w14:paraId="31BD1142" w14:textId="77777777" w:rsidTr="003367C1">
        <w:trPr>
          <w:trHeight w:val="1070"/>
        </w:trPr>
        <w:tc>
          <w:tcPr>
            <w:tcW w:w="9350" w:type="dxa"/>
            <w:gridSpan w:val="2"/>
            <w:shd w:val="clear" w:color="auto" w:fill="B4C6E7" w:themeFill="accent1" w:themeFillTint="66"/>
            <w:vAlign w:val="center"/>
          </w:tcPr>
          <w:p w14:paraId="534FA6C1" w14:textId="00FF833F" w:rsidR="00175593" w:rsidRPr="008A17BE" w:rsidRDefault="00175593" w:rsidP="003367C1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8A17BE">
              <w:rPr>
                <w:b/>
                <w:bCs w:val="0"/>
                <w:color w:val="auto"/>
                <w:sz w:val="32"/>
                <w:szCs w:val="32"/>
              </w:rPr>
              <w:t>LEA Responsibilities Following a Status Change</w:t>
            </w:r>
            <w:r w:rsidR="008A17BE">
              <w:rPr>
                <w:b/>
                <w:bCs w:val="0"/>
                <w:color w:val="auto"/>
                <w:sz w:val="32"/>
                <w:szCs w:val="32"/>
              </w:rPr>
              <w:br/>
              <w:t>7 CFR 245.6a(e)(l)(</w:t>
            </w:r>
            <w:proofErr w:type="spellStart"/>
            <w:r w:rsidR="008A17BE">
              <w:rPr>
                <w:b/>
                <w:bCs w:val="0"/>
                <w:color w:val="auto"/>
                <w:sz w:val="32"/>
                <w:szCs w:val="32"/>
              </w:rPr>
              <w:t>i</w:t>
            </w:r>
            <w:proofErr w:type="spellEnd"/>
            <w:r w:rsidR="008A17BE">
              <w:rPr>
                <w:b/>
                <w:bCs w:val="0"/>
                <w:color w:val="auto"/>
                <w:sz w:val="32"/>
                <w:szCs w:val="32"/>
              </w:rPr>
              <w:t>)(A-C)</w:t>
            </w:r>
          </w:p>
        </w:tc>
      </w:tr>
      <w:tr w:rsidR="00175593" w14:paraId="59EB4156" w14:textId="77777777" w:rsidTr="003367C1">
        <w:trPr>
          <w:trHeight w:val="530"/>
        </w:trPr>
        <w:tc>
          <w:tcPr>
            <w:tcW w:w="3325" w:type="dxa"/>
            <w:shd w:val="clear" w:color="auto" w:fill="B4C6E7" w:themeFill="accent1" w:themeFillTint="66"/>
            <w:vAlign w:val="center"/>
          </w:tcPr>
          <w:p w14:paraId="3D4BD96F" w14:textId="727D03C3" w:rsidR="00175593" w:rsidRPr="009A148F" w:rsidRDefault="008A17BE" w:rsidP="003367C1">
            <w:pPr>
              <w:rPr>
                <w:b/>
                <w:bCs w:val="0"/>
                <w:color w:val="auto"/>
                <w:sz w:val="28"/>
                <w:szCs w:val="28"/>
              </w:rPr>
            </w:pPr>
            <w:r w:rsidRPr="009A148F">
              <w:rPr>
                <w:b/>
                <w:bCs w:val="0"/>
                <w:color w:val="auto"/>
                <w:sz w:val="28"/>
                <w:szCs w:val="28"/>
              </w:rPr>
              <w:t>No Change in Status</w:t>
            </w:r>
          </w:p>
        </w:tc>
        <w:tc>
          <w:tcPr>
            <w:tcW w:w="6025" w:type="dxa"/>
            <w:vAlign w:val="center"/>
          </w:tcPr>
          <w:p w14:paraId="21E1439A" w14:textId="009065D9" w:rsidR="00175593" w:rsidRPr="008A17BE" w:rsidRDefault="008A17BE" w:rsidP="003367C1">
            <w:pPr>
              <w:rPr>
                <w:color w:val="auto"/>
                <w:sz w:val="24"/>
                <w:szCs w:val="24"/>
              </w:rPr>
            </w:pPr>
            <w:r w:rsidRPr="008A17BE">
              <w:rPr>
                <w:color w:val="auto"/>
                <w:sz w:val="24"/>
                <w:szCs w:val="24"/>
              </w:rPr>
              <w:t>The LEA verifies the application.</w:t>
            </w:r>
          </w:p>
        </w:tc>
      </w:tr>
      <w:tr w:rsidR="00175593" w14:paraId="6B773232" w14:textId="77777777" w:rsidTr="003367C1">
        <w:trPr>
          <w:trHeight w:val="2462"/>
        </w:trPr>
        <w:tc>
          <w:tcPr>
            <w:tcW w:w="3325" w:type="dxa"/>
            <w:shd w:val="clear" w:color="auto" w:fill="B4C6E7" w:themeFill="accent1" w:themeFillTint="66"/>
            <w:vAlign w:val="center"/>
          </w:tcPr>
          <w:p w14:paraId="31366AA4" w14:textId="77126E97" w:rsidR="00175593" w:rsidRPr="009A148F" w:rsidRDefault="008A17BE" w:rsidP="003367C1">
            <w:pPr>
              <w:rPr>
                <w:b/>
                <w:bCs w:val="0"/>
                <w:color w:val="auto"/>
                <w:sz w:val="28"/>
                <w:szCs w:val="28"/>
              </w:rPr>
            </w:pPr>
            <w:r w:rsidRPr="009A148F">
              <w:rPr>
                <w:b/>
                <w:bCs w:val="0"/>
                <w:color w:val="auto"/>
                <w:sz w:val="28"/>
                <w:szCs w:val="28"/>
              </w:rPr>
              <w:t>Status Change from</w:t>
            </w:r>
            <w:r w:rsidRPr="009A148F">
              <w:rPr>
                <w:b/>
                <w:bCs w:val="0"/>
                <w:color w:val="auto"/>
                <w:sz w:val="28"/>
                <w:szCs w:val="28"/>
              </w:rPr>
              <w:br/>
              <w:t>Reduced Price</w:t>
            </w:r>
            <w:r w:rsidRPr="009A148F">
              <w:rPr>
                <w:b/>
                <w:bCs w:val="0"/>
                <w:color w:val="auto"/>
                <w:sz w:val="28"/>
                <w:szCs w:val="28"/>
              </w:rPr>
              <w:br/>
              <w:t>to Free</w:t>
            </w:r>
          </w:p>
        </w:tc>
        <w:tc>
          <w:tcPr>
            <w:tcW w:w="6025" w:type="dxa"/>
            <w:vAlign w:val="center"/>
          </w:tcPr>
          <w:p w14:paraId="1E878922" w14:textId="77777777" w:rsidR="00175593" w:rsidRPr="001C47E9" w:rsidRDefault="008A17BE" w:rsidP="003367C1">
            <w:pPr>
              <w:rPr>
                <w:color w:val="auto"/>
              </w:rPr>
            </w:pPr>
            <w:r w:rsidRPr="001C47E9">
              <w:rPr>
                <w:color w:val="auto"/>
              </w:rPr>
              <w:t>The LEA:</w:t>
            </w:r>
            <w:r w:rsidRPr="001C47E9">
              <w:rPr>
                <w:color w:val="auto"/>
              </w:rPr>
              <w:br/>
            </w:r>
          </w:p>
          <w:p w14:paraId="3E7A2C8D" w14:textId="7A8AC4EB" w:rsidR="008A17BE" w:rsidRPr="001C47E9" w:rsidRDefault="008A17BE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 w:rsidRPr="001C47E9">
              <w:rPr>
                <w:rFonts w:ascii="Arial" w:hAnsi="Arial"/>
                <w:color w:val="auto"/>
              </w:rPr>
              <w:t>Makes the increased</w:t>
            </w:r>
            <w:r w:rsidR="001C47E9" w:rsidRPr="001C47E9">
              <w:rPr>
                <w:rFonts w:ascii="Arial" w:hAnsi="Arial"/>
                <w:color w:val="auto"/>
              </w:rPr>
              <w:t xml:space="preserve"> benefits available immediately;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5AF7E894" w14:textId="4ABF7EBC" w:rsidR="003367C1" w:rsidRDefault="001C47E9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 w:rsidRPr="001C47E9">
              <w:rPr>
                <w:rFonts w:ascii="Arial" w:hAnsi="Arial"/>
                <w:color w:val="auto"/>
              </w:rPr>
              <w:t>Notifies the household of the change in benefits, and</w:t>
            </w:r>
            <w:r w:rsidR="003367C1">
              <w:rPr>
                <w:rFonts w:ascii="Arial" w:hAnsi="Arial"/>
                <w:color w:val="auto"/>
              </w:rPr>
              <w:br/>
            </w:r>
          </w:p>
          <w:p w14:paraId="0FA5ECB9" w14:textId="193520BA" w:rsidR="001C47E9" w:rsidRPr="003367C1" w:rsidRDefault="003367C1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 w:rsidRPr="002C7B7D">
              <w:rPr>
                <w:rFonts w:ascii="Arial" w:hAnsi="Arial"/>
                <w:color w:val="auto"/>
              </w:rPr>
              <w:t>Verifie</w:t>
            </w:r>
            <w:r w:rsidR="00615B4A" w:rsidRPr="002C7B7D">
              <w:rPr>
                <w:rFonts w:ascii="Arial" w:hAnsi="Arial"/>
                <w:color w:val="auto"/>
              </w:rPr>
              <w:t>s</w:t>
            </w:r>
            <w:r w:rsidRPr="001C47E9">
              <w:rPr>
                <w:rFonts w:ascii="Arial" w:hAnsi="Arial"/>
                <w:color w:val="auto"/>
              </w:rPr>
              <w:t xml:space="preserve"> the application.</w:t>
            </w:r>
            <w:r w:rsidR="009A148F">
              <w:rPr>
                <w:rFonts w:ascii="Arial" w:hAnsi="Arial"/>
                <w:color w:val="auto"/>
              </w:rPr>
              <w:br/>
            </w:r>
          </w:p>
        </w:tc>
      </w:tr>
      <w:tr w:rsidR="00175593" w14:paraId="666568A3" w14:textId="77777777" w:rsidTr="003367C1">
        <w:trPr>
          <w:trHeight w:val="2825"/>
        </w:trPr>
        <w:tc>
          <w:tcPr>
            <w:tcW w:w="3325" w:type="dxa"/>
            <w:shd w:val="clear" w:color="auto" w:fill="B4C6E7" w:themeFill="accent1" w:themeFillTint="66"/>
            <w:vAlign w:val="center"/>
          </w:tcPr>
          <w:p w14:paraId="56CDA2D2" w14:textId="4260D8C5" w:rsidR="00175593" w:rsidRPr="009A148F" w:rsidRDefault="001C47E9" w:rsidP="003367C1">
            <w:pPr>
              <w:rPr>
                <w:b/>
                <w:bCs w:val="0"/>
                <w:color w:val="auto"/>
                <w:sz w:val="28"/>
                <w:szCs w:val="28"/>
              </w:rPr>
            </w:pPr>
            <w:r w:rsidRPr="009A148F">
              <w:rPr>
                <w:b/>
                <w:bCs w:val="0"/>
                <w:color w:val="auto"/>
                <w:sz w:val="28"/>
                <w:szCs w:val="28"/>
              </w:rPr>
              <w:t>Status Change from</w:t>
            </w:r>
            <w:r w:rsidRPr="009A148F">
              <w:rPr>
                <w:b/>
                <w:bCs w:val="0"/>
                <w:color w:val="auto"/>
                <w:sz w:val="28"/>
                <w:szCs w:val="28"/>
              </w:rPr>
              <w:br/>
              <w:t>Free to Reduced Price</w:t>
            </w:r>
          </w:p>
        </w:tc>
        <w:tc>
          <w:tcPr>
            <w:tcW w:w="6025" w:type="dxa"/>
            <w:vAlign w:val="center"/>
          </w:tcPr>
          <w:p w14:paraId="2096CC75" w14:textId="77777777" w:rsidR="001C47E9" w:rsidRPr="001C47E9" w:rsidRDefault="001C47E9" w:rsidP="003367C1">
            <w:pPr>
              <w:rPr>
                <w:color w:val="auto"/>
              </w:rPr>
            </w:pPr>
            <w:r w:rsidRPr="001C47E9">
              <w:rPr>
                <w:color w:val="auto"/>
              </w:rPr>
              <w:t>The LEA:</w:t>
            </w:r>
            <w:r w:rsidRPr="001C47E9">
              <w:rPr>
                <w:color w:val="auto"/>
              </w:rPr>
              <w:br/>
            </w:r>
          </w:p>
          <w:p w14:paraId="542E56B4" w14:textId="0A7B6C83" w:rsidR="001C47E9" w:rsidRPr="001C47E9" w:rsidRDefault="001C47E9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Does not change the child’s status</w:t>
            </w:r>
            <w:r w:rsidRPr="001C47E9">
              <w:rPr>
                <w:rFonts w:ascii="Arial" w:hAnsi="Arial"/>
                <w:color w:val="auto"/>
              </w:rPr>
              <w:t>;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10C12C0F" w14:textId="3BFEA453" w:rsidR="001C47E9" w:rsidRDefault="001C47E9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Verifies the application;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64F29CEF" w14:textId="70B2C615" w:rsidR="001C47E9" w:rsidRPr="001C47E9" w:rsidRDefault="001C47E9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Notifies the household of the correct eligibility after verification is completed and, if required, sends the household a notice of adverse action.</w:t>
            </w:r>
          </w:p>
          <w:p w14:paraId="29EC3978" w14:textId="4A7B75AF" w:rsidR="00175593" w:rsidRDefault="00175593" w:rsidP="003367C1"/>
        </w:tc>
      </w:tr>
      <w:tr w:rsidR="00175593" w14:paraId="285B5C52" w14:textId="77777777" w:rsidTr="003367C1">
        <w:trPr>
          <w:trHeight w:val="3779"/>
        </w:trPr>
        <w:tc>
          <w:tcPr>
            <w:tcW w:w="3325" w:type="dxa"/>
            <w:shd w:val="clear" w:color="auto" w:fill="B4C6E7" w:themeFill="accent1" w:themeFillTint="66"/>
            <w:vAlign w:val="center"/>
          </w:tcPr>
          <w:p w14:paraId="242A2ABD" w14:textId="77777777" w:rsidR="001C47E9" w:rsidRPr="009A148F" w:rsidRDefault="001C47E9" w:rsidP="003367C1">
            <w:pPr>
              <w:rPr>
                <w:b/>
                <w:bCs w:val="0"/>
                <w:color w:val="auto"/>
                <w:sz w:val="28"/>
                <w:szCs w:val="28"/>
              </w:rPr>
            </w:pPr>
            <w:r w:rsidRPr="009A148F">
              <w:rPr>
                <w:b/>
                <w:bCs w:val="0"/>
                <w:color w:val="auto"/>
                <w:sz w:val="28"/>
                <w:szCs w:val="28"/>
              </w:rPr>
              <w:t>Status Change from</w:t>
            </w:r>
          </w:p>
          <w:p w14:paraId="5B6C3052" w14:textId="75FDC502" w:rsidR="00175593" w:rsidRPr="009A148F" w:rsidRDefault="001C47E9" w:rsidP="003367C1">
            <w:pPr>
              <w:rPr>
                <w:b/>
                <w:bCs w:val="0"/>
                <w:color w:val="auto"/>
                <w:sz w:val="28"/>
                <w:szCs w:val="28"/>
              </w:rPr>
            </w:pPr>
            <w:r w:rsidRPr="009A148F">
              <w:rPr>
                <w:b/>
                <w:bCs w:val="0"/>
                <w:color w:val="auto"/>
                <w:sz w:val="28"/>
                <w:szCs w:val="28"/>
              </w:rPr>
              <w:t xml:space="preserve">Free </w:t>
            </w:r>
            <w:r w:rsidR="00615B4A" w:rsidRPr="002C7B7D">
              <w:rPr>
                <w:b/>
                <w:bCs w:val="0"/>
                <w:color w:val="auto"/>
                <w:sz w:val="28"/>
                <w:szCs w:val="28"/>
              </w:rPr>
              <w:t>or</w:t>
            </w:r>
            <w:r w:rsidRPr="009A148F">
              <w:rPr>
                <w:b/>
                <w:bCs w:val="0"/>
                <w:color w:val="auto"/>
                <w:sz w:val="28"/>
                <w:szCs w:val="28"/>
              </w:rPr>
              <w:t xml:space="preserve"> Reduced Price</w:t>
            </w:r>
            <w:r w:rsidRPr="009A148F">
              <w:rPr>
                <w:b/>
                <w:bCs w:val="0"/>
                <w:color w:val="auto"/>
                <w:sz w:val="28"/>
                <w:szCs w:val="28"/>
              </w:rPr>
              <w:br/>
              <w:t>to Paid</w:t>
            </w:r>
          </w:p>
        </w:tc>
        <w:tc>
          <w:tcPr>
            <w:tcW w:w="6025" w:type="dxa"/>
            <w:vAlign w:val="center"/>
          </w:tcPr>
          <w:p w14:paraId="783A86F7" w14:textId="77777777" w:rsidR="001C47E9" w:rsidRPr="001C47E9" w:rsidRDefault="001C47E9" w:rsidP="003367C1">
            <w:pPr>
              <w:rPr>
                <w:color w:val="auto"/>
              </w:rPr>
            </w:pPr>
            <w:r w:rsidRPr="001C47E9">
              <w:rPr>
                <w:color w:val="auto"/>
              </w:rPr>
              <w:t>The LEA:</w:t>
            </w:r>
            <w:r w:rsidRPr="001C47E9">
              <w:rPr>
                <w:color w:val="auto"/>
              </w:rPr>
              <w:br/>
            </w:r>
          </w:p>
          <w:p w14:paraId="78589C47" w14:textId="32F2C99D" w:rsidR="001C47E9" w:rsidRPr="001C47E9" w:rsidRDefault="00A50A17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Immediately sends the household a notice of adverse action</w:t>
            </w:r>
            <w:r w:rsidR="001C47E9" w:rsidRPr="001C47E9">
              <w:rPr>
                <w:rFonts w:ascii="Arial" w:hAnsi="Arial"/>
                <w:color w:val="auto"/>
              </w:rPr>
              <w:t>;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7A703505" w14:textId="07D74F63" w:rsidR="001C47E9" w:rsidRDefault="00A50A17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Does not </w:t>
            </w:r>
            <w:r w:rsidR="001B38D2">
              <w:rPr>
                <w:rFonts w:ascii="Arial" w:hAnsi="Arial"/>
                <w:color w:val="auto"/>
              </w:rPr>
              <w:t>verify</w:t>
            </w:r>
            <w:r w:rsidR="001C47E9">
              <w:rPr>
                <w:rFonts w:ascii="Arial" w:hAnsi="Arial"/>
                <w:color w:val="auto"/>
              </w:rPr>
              <w:t xml:space="preserve"> the application;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3DAEE9F1" w14:textId="101ADD0C" w:rsidR="001C47E9" w:rsidRDefault="00A50A17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Selects a similar application, such as another error prone application, for verification; and</w:t>
            </w:r>
            <w:r w:rsidR="009A148F">
              <w:rPr>
                <w:rFonts w:ascii="Arial" w:hAnsi="Arial"/>
                <w:color w:val="auto"/>
              </w:rPr>
              <w:br/>
            </w:r>
          </w:p>
          <w:p w14:paraId="402B74D4" w14:textId="3749DEB5" w:rsidR="00A50A17" w:rsidRPr="001C47E9" w:rsidRDefault="00A50A17" w:rsidP="003367C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Follows the confirmation review procedures for the selected application.</w:t>
            </w:r>
          </w:p>
          <w:p w14:paraId="6086A456" w14:textId="77777777" w:rsidR="00175593" w:rsidRPr="001C47E9" w:rsidRDefault="00175593" w:rsidP="003367C1">
            <w:pPr>
              <w:rPr>
                <w:b/>
                <w:bCs w:val="0"/>
              </w:rPr>
            </w:pPr>
          </w:p>
        </w:tc>
      </w:tr>
    </w:tbl>
    <w:p w14:paraId="6D824026" w14:textId="4A6C2FC9" w:rsidR="0007324E" w:rsidRDefault="00336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0E08" wp14:editId="315D3233">
                <wp:simplePos x="0" y="0"/>
                <wp:positionH relativeFrom="column">
                  <wp:posOffset>-78105</wp:posOffset>
                </wp:positionH>
                <wp:positionV relativeFrom="paragraph">
                  <wp:posOffset>-323215</wp:posOffset>
                </wp:positionV>
                <wp:extent cx="5982335" cy="6788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DE702" w14:textId="16847DEC" w:rsidR="003367C1" w:rsidRPr="003367C1" w:rsidRDefault="003367C1" w:rsidP="003367C1">
                            <w:pPr>
                              <w:jc w:val="center"/>
                              <w:rPr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3367C1">
                              <w:rPr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</w:rPr>
                              <w:t>Confirmation Review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20E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-25.45pt;width:471.05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" fillcolor="white [3201]" stroked="f" strokeweight=".5pt">
                <v:textbox>
                  <w:txbxContent>
                    <w:p w14:paraId="4CEDE702" w14:textId="16847DEC" w:rsidR="003367C1" w:rsidRPr="003367C1" w:rsidRDefault="003367C1" w:rsidP="003367C1">
                      <w:pPr>
                        <w:jc w:val="center"/>
                        <w:rPr>
                          <w:b/>
                          <w:bCs w:val="0"/>
                          <w:color w:val="auto"/>
                          <w:sz w:val="44"/>
                          <w:szCs w:val="44"/>
                        </w:rPr>
                      </w:pPr>
                      <w:r w:rsidRPr="003367C1">
                        <w:rPr>
                          <w:b/>
                          <w:bCs w:val="0"/>
                          <w:color w:val="auto"/>
                          <w:sz w:val="44"/>
                          <w:szCs w:val="44"/>
                        </w:rPr>
                        <w:t>Confirmation Review Actions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24E" w:rsidSect="003367C1"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57B7" w14:textId="77777777" w:rsidR="00C7782F" w:rsidRDefault="00C7782F" w:rsidP="00175593">
      <w:pPr>
        <w:spacing w:after="0" w:line="240" w:lineRule="auto"/>
      </w:pPr>
      <w:r>
        <w:separator/>
      </w:r>
    </w:p>
  </w:endnote>
  <w:endnote w:type="continuationSeparator" w:id="0">
    <w:p w14:paraId="24FC51A0" w14:textId="77777777" w:rsidR="00C7782F" w:rsidRDefault="00C7782F" w:rsidP="001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E517" w14:textId="6E62BE04" w:rsidR="00175593" w:rsidRDefault="00175593" w:rsidP="00175593">
    <w:pPr>
      <w:pStyle w:val="Footer"/>
      <w:ind w:left="-720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1D02" wp14:editId="45385D32">
              <wp:simplePos x="0" y="0"/>
              <wp:positionH relativeFrom="column">
                <wp:posOffset>-295275</wp:posOffset>
              </wp:positionH>
              <wp:positionV relativeFrom="paragraph">
                <wp:posOffset>-39370</wp:posOffset>
              </wp:positionV>
              <wp:extent cx="55054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F466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-3.1pt" to="410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RMmQEAAIgDAAAOAAAAZHJzL2Uyb0RvYy54bWysU9uO0zAQfUfiHyy/06Qril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267D7812" wp14:editId="28C5B3EB">
          <wp:simplePos x="0" y="0"/>
          <wp:positionH relativeFrom="column">
            <wp:posOffset>5208270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29365" wp14:editId="3CDEB9E9">
              <wp:simplePos x="0" y="0"/>
              <wp:positionH relativeFrom="column">
                <wp:posOffset>-381000</wp:posOffset>
              </wp:positionH>
              <wp:positionV relativeFrom="paragraph">
                <wp:posOffset>-248920</wp:posOffset>
              </wp:positionV>
              <wp:extent cx="4752975" cy="278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F8A5A" w14:textId="77777777" w:rsidR="00175593" w:rsidRPr="001C2459" w:rsidRDefault="00175593" w:rsidP="00F33DFF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Document provided by the Georgia Department of Education School Nutrition 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Division</w:t>
                          </w: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29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0pt;margin-top:-19.6pt;width:374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" filled="f" stroked="f" strokeweight=".5pt">
              <v:textbox>
                <w:txbxContent>
                  <w:p w14:paraId="4E0F8A5A" w14:textId="77777777" w:rsidR="00175593" w:rsidRPr="001C2459" w:rsidRDefault="00175593" w:rsidP="00F33DFF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Document provided by the Georgia Department of Education School Nutrition </w:t>
                    </w:r>
                    <w: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Division</w:t>
                    </w: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FF41E0" wp14:editId="5D208FC5">
              <wp:simplePos x="0" y="0"/>
              <wp:positionH relativeFrom="column">
                <wp:posOffset>-381000</wp:posOffset>
              </wp:positionH>
              <wp:positionV relativeFrom="paragraph">
                <wp:posOffset>-77470</wp:posOffset>
              </wp:positionV>
              <wp:extent cx="4648200" cy="2787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8071F6" w14:textId="77777777" w:rsidR="00175593" w:rsidRPr="001C2459" w:rsidRDefault="00175593" w:rsidP="004E0459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F41E0" id="Text Box 3" o:spid="_x0000_s1028" type="#_x0000_t202" style="position:absolute;left:0;text-align:left;margin-left:-30pt;margin-top:-6.1pt;width:366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" filled="f" stroked="f" strokeweight=".5pt">
              <v:textbox>
                <w:txbxContent>
                  <w:p w14:paraId="158071F6" w14:textId="77777777" w:rsidR="00175593" w:rsidRPr="001C2459" w:rsidRDefault="00175593" w:rsidP="004E0459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60EA" w14:textId="77777777" w:rsidR="00C7782F" w:rsidRDefault="00C7782F" w:rsidP="00175593">
      <w:pPr>
        <w:spacing w:after="0" w:line="240" w:lineRule="auto"/>
      </w:pPr>
      <w:r>
        <w:separator/>
      </w:r>
    </w:p>
  </w:footnote>
  <w:footnote w:type="continuationSeparator" w:id="0">
    <w:p w14:paraId="0ACCEE9C" w14:textId="77777777" w:rsidR="00C7782F" w:rsidRDefault="00C7782F" w:rsidP="0017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5371"/>
    <w:multiLevelType w:val="hybridMultilevel"/>
    <w:tmpl w:val="A3DC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51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93"/>
    <w:rsid w:val="00005B6D"/>
    <w:rsid w:val="0007324E"/>
    <w:rsid w:val="000818DE"/>
    <w:rsid w:val="0012265A"/>
    <w:rsid w:val="00175593"/>
    <w:rsid w:val="001B38D2"/>
    <w:rsid w:val="001C47E9"/>
    <w:rsid w:val="001F69A3"/>
    <w:rsid w:val="00285A36"/>
    <w:rsid w:val="002C7B7D"/>
    <w:rsid w:val="003367C1"/>
    <w:rsid w:val="004976F6"/>
    <w:rsid w:val="00607388"/>
    <w:rsid w:val="00615B4A"/>
    <w:rsid w:val="0069549B"/>
    <w:rsid w:val="006F68C6"/>
    <w:rsid w:val="007B42DC"/>
    <w:rsid w:val="008A17BE"/>
    <w:rsid w:val="00904CD1"/>
    <w:rsid w:val="0099543F"/>
    <w:rsid w:val="009A148F"/>
    <w:rsid w:val="00A14B44"/>
    <w:rsid w:val="00A37047"/>
    <w:rsid w:val="00A50A17"/>
    <w:rsid w:val="00A56998"/>
    <w:rsid w:val="00B0707D"/>
    <w:rsid w:val="00BE5776"/>
    <w:rsid w:val="00C7782F"/>
    <w:rsid w:val="00DA6713"/>
    <w:rsid w:val="00DC0639"/>
    <w:rsid w:val="00D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9D4A2"/>
  <w15:chartTrackingRefBased/>
  <w15:docId w15:val="{E7137A66-3266-4911-B59A-1246527D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1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3"/>
  </w:style>
  <w:style w:type="paragraph" w:styleId="Footer">
    <w:name w:val="footer"/>
    <w:basedOn w:val="Normal"/>
    <w:link w:val="FooterChar"/>
    <w:uiPriority w:val="99"/>
    <w:unhideWhenUsed/>
    <w:rsid w:val="001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3"/>
  </w:style>
  <w:style w:type="table" w:styleId="TableGrid">
    <w:name w:val="Table Grid"/>
    <w:basedOn w:val="TableNormal"/>
    <w:uiPriority w:val="39"/>
    <w:rsid w:val="001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964FF-0F6A-4485-96DB-EEF4B1211D7F}"/>
</file>

<file path=customXml/itemProps2.xml><?xml version="1.0" encoding="utf-8"?>
<ds:datastoreItem xmlns:ds="http://schemas.openxmlformats.org/officeDocument/2006/customXml" ds:itemID="{E0F7473B-9246-461B-BEE3-66C49D825586}"/>
</file>

<file path=customXml/itemProps3.xml><?xml version="1.0" encoding="utf-8"?>
<ds:datastoreItem xmlns:ds="http://schemas.openxmlformats.org/officeDocument/2006/customXml" ds:itemID="{CDC8289D-879F-4926-A743-4F73450A1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766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Lydia Martin</cp:lastModifiedBy>
  <cp:revision>3</cp:revision>
  <dcterms:created xsi:type="dcterms:W3CDTF">2022-09-14T16:08:00Z</dcterms:created>
  <dcterms:modified xsi:type="dcterms:W3CDTF">2022-09-20T13:15:00Z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c2686616cbddbc5162e8af8b510bb24070a21d93b9d2ec52cd2a7ffe4bdb8296</vt:lpwstr>
  </property>
</Properties>
</file>